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67FFA4" w14:textId="77777777" w:rsidR="004163A7" w:rsidRPr="00C21C41" w:rsidRDefault="004163A7" w:rsidP="004163A7">
      <w:pPr>
        <w:rPr>
          <w:b/>
          <w:bCs/>
          <w:sz w:val="36"/>
          <w:szCs w:val="36"/>
        </w:rPr>
      </w:pPr>
      <w:r w:rsidRPr="00C21C41">
        <w:rPr>
          <w:b/>
          <w:bCs/>
          <w:sz w:val="36"/>
          <w:szCs w:val="36"/>
        </w:rPr>
        <w:t>DNOs</w:t>
      </w:r>
      <w:r>
        <w:rPr>
          <w:b/>
          <w:bCs/>
          <w:sz w:val="36"/>
          <w:szCs w:val="36"/>
        </w:rPr>
        <w:t>’ future role in supporting the rollout of low carbon technologies</w:t>
      </w:r>
    </w:p>
    <w:p w14:paraId="59427893" w14:textId="77777777" w:rsidR="00801B48" w:rsidRPr="0094019F" w:rsidRDefault="00801B48" w:rsidP="00801B48">
      <w:pPr>
        <w:spacing w:after="0" w:line="276" w:lineRule="auto"/>
        <w:rPr>
          <w:b/>
          <w:bCs/>
          <w:kern w:val="0"/>
          <w:sz w:val="24"/>
          <w:szCs w:val="24"/>
          <w14:ligatures w14:val="none"/>
        </w:rPr>
      </w:pPr>
      <w:r w:rsidRPr="54C66777">
        <w:rPr>
          <w:b/>
          <w:bCs/>
          <w:kern w:val="0"/>
          <w:sz w:val="24"/>
          <w:szCs w:val="24"/>
          <w14:ligatures w14:val="none"/>
        </w:rPr>
        <w:t xml:space="preserve">The MCS Foundation </w:t>
      </w:r>
    </w:p>
    <w:p w14:paraId="66189497" w14:textId="77777777" w:rsidR="00801B48" w:rsidRDefault="00801B48" w:rsidP="00801B48">
      <w:pPr>
        <w:spacing w:line="276" w:lineRule="auto"/>
        <w:rPr>
          <w:kern w:val="0"/>
          <w:lang w:eastAsia="en-GB"/>
          <w14:ligatures w14:val="none"/>
        </w:rPr>
      </w:pPr>
      <w:r w:rsidRPr="00B161AF">
        <w:rPr>
          <w:kern w:val="0"/>
          <w:lang w:eastAsia="en-GB"/>
          <w14:ligatures w14:val="none"/>
        </w:rPr>
        <w:t>Our vision is to make every UK home carbon-free. The MCS Foundation helps drive positive change to decarbonise homes heat and energy through our programmes, grants and advocacy</w:t>
      </w:r>
      <w:r>
        <w:rPr>
          <w:kern w:val="0"/>
          <w:lang w:eastAsia="en-GB"/>
          <w14:ligatures w14:val="none"/>
        </w:rPr>
        <w:t xml:space="preserve"> work</w:t>
      </w:r>
      <w:r w:rsidRPr="00B161AF">
        <w:rPr>
          <w:kern w:val="0"/>
          <w:lang w:eastAsia="en-GB"/>
          <w14:ligatures w14:val="none"/>
        </w:rPr>
        <w:t xml:space="preserve">. We support engagement programmes, fund research and facilitate innovative solutions to drive widespread adoption of renewables to help achieve a </w:t>
      </w:r>
      <w:r>
        <w:rPr>
          <w:kern w:val="0"/>
          <w:lang w:eastAsia="en-GB"/>
          <w14:ligatures w14:val="none"/>
        </w:rPr>
        <w:t>n</w:t>
      </w:r>
      <w:r w:rsidRPr="00B161AF">
        <w:rPr>
          <w:kern w:val="0"/>
          <w:lang w:eastAsia="en-GB"/>
          <w14:ligatures w14:val="none"/>
        </w:rPr>
        <w:t xml:space="preserve">et </w:t>
      </w:r>
      <w:proofErr w:type="spellStart"/>
      <w:r w:rsidRPr="00B161AF">
        <w:rPr>
          <w:kern w:val="0"/>
          <w:lang w:eastAsia="en-GB"/>
          <w14:ligatures w14:val="none"/>
        </w:rPr>
        <w:t>Z</w:t>
      </w:r>
      <w:r>
        <w:rPr>
          <w:kern w:val="0"/>
          <w:lang w:eastAsia="en-GB"/>
          <w14:ligatures w14:val="none"/>
        </w:rPr>
        <w:t>z</w:t>
      </w:r>
      <w:r w:rsidRPr="00B161AF">
        <w:rPr>
          <w:kern w:val="0"/>
          <w:lang w:eastAsia="en-GB"/>
          <w14:ligatures w14:val="none"/>
        </w:rPr>
        <w:t>ero</w:t>
      </w:r>
      <w:proofErr w:type="spellEnd"/>
      <w:r w:rsidRPr="00B161AF">
        <w:rPr>
          <w:kern w:val="0"/>
          <w:lang w:eastAsia="en-GB"/>
          <w14:ligatures w14:val="none"/>
        </w:rPr>
        <w:t xml:space="preserve"> future.  In addition, the Foundation oversees the </w:t>
      </w:r>
      <w:hyperlink r:id="rId11" w:tgtFrame="_blank" w:history="1">
        <w:r w:rsidRPr="00B161AF">
          <w:rPr>
            <w:color w:val="0000FF"/>
            <w:kern w:val="0"/>
            <w:u w:val="single"/>
            <w:lang w:eastAsia="en-GB"/>
            <w14:ligatures w14:val="none"/>
          </w:rPr>
          <w:t>Microgeneration Certification Scheme (MCS)</w:t>
        </w:r>
      </w:hyperlink>
      <w:r w:rsidRPr="00B161AF">
        <w:rPr>
          <w:kern w:val="0"/>
          <w:lang w:eastAsia="en-GB"/>
          <w14:ligatures w14:val="none"/>
        </w:rPr>
        <w:t xml:space="preserve"> which defines, maintains and improves quality standards for renewable energy at buildings scale.</w:t>
      </w:r>
    </w:p>
    <w:p w14:paraId="580941FD" w14:textId="77777777" w:rsidR="00801B48" w:rsidRPr="007D4BF2" w:rsidRDefault="00801B48" w:rsidP="00801B48">
      <w:pPr>
        <w:spacing w:line="276" w:lineRule="auto"/>
        <w:rPr>
          <w:b/>
          <w:bCs/>
          <w:kern w:val="0"/>
          <w14:ligatures w14:val="none"/>
        </w:rPr>
      </w:pPr>
      <w:r w:rsidRPr="54C66777">
        <w:rPr>
          <w:kern w:val="0"/>
          <w14:ligatures w14:val="none"/>
        </w:rPr>
        <w:t xml:space="preserve">Submission by </w:t>
      </w:r>
      <w:r w:rsidRPr="54C66777">
        <w:rPr>
          <w:b/>
          <w:bCs/>
          <w:kern w:val="0"/>
          <w14:ligatures w14:val="none"/>
        </w:rPr>
        <w:t>Jenny Russon</w:t>
      </w:r>
    </w:p>
    <w:p w14:paraId="76357EA5" w14:textId="77777777" w:rsidR="00801B48" w:rsidRPr="00B161AF" w:rsidRDefault="00801B48" w:rsidP="00801B48">
      <w:pPr>
        <w:spacing w:line="276" w:lineRule="auto"/>
        <w:rPr>
          <w:kern w:val="0"/>
          <w14:ligatures w14:val="none"/>
        </w:rPr>
      </w:pPr>
      <w:r w:rsidRPr="54C66777">
        <w:rPr>
          <w:kern w:val="0"/>
          <w14:ligatures w14:val="none"/>
        </w:rPr>
        <w:t xml:space="preserve">Title:  </w:t>
      </w:r>
      <w:r w:rsidRPr="54C66777">
        <w:rPr>
          <w:b/>
          <w:bCs/>
          <w:kern w:val="0"/>
          <w14:ligatures w14:val="none"/>
        </w:rPr>
        <w:t>Senior Research, Policy &amp; Campaigns Officer</w:t>
      </w:r>
    </w:p>
    <w:p w14:paraId="7D4863D1" w14:textId="77777777" w:rsidR="00801B48" w:rsidRPr="00B161AF" w:rsidRDefault="00801B48" w:rsidP="00801B48">
      <w:pPr>
        <w:spacing w:line="276" w:lineRule="auto"/>
        <w:rPr>
          <w:b/>
          <w:bCs/>
          <w:kern w:val="0"/>
          <w14:ligatures w14:val="none"/>
        </w:rPr>
      </w:pPr>
      <w:r w:rsidRPr="54C66777">
        <w:rPr>
          <w:kern w:val="0"/>
          <w14:ligatures w14:val="none"/>
        </w:rPr>
        <w:t xml:space="preserve">Organisation: </w:t>
      </w:r>
      <w:r w:rsidRPr="54C66777">
        <w:rPr>
          <w:b/>
          <w:bCs/>
          <w:kern w:val="0"/>
          <w14:ligatures w14:val="none"/>
        </w:rPr>
        <w:t>The MCS Foundation</w:t>
      </w:r>
    </w:p>
    <w:p w14:paraId="5D2A4E12" w14:textId="77777777" w:rsidR="00801B48" w:rsidRDefault="00801B48" w:rsidP="00801B48">
      <w:pPr>
        <w:spacing w:line="276" w:lineRule="auto"/>
      </w:pPr>
      <w:r w:rsidRPr="00E775CC">
        <w:rPr>
          <w:kern w:val="0"/>
          <w14:ligatures w14:val="none"/>
        </w:rPr>
        <w:t>Contact:</w:t>
      </w:r>
      <w:r w:rsidRPr="00421607">
        <w:rPr>
          <w:kern w:val="0"/>
          <w14:ligatures w14:val="none"/>
        </w:rPr>
        <w:t xml:space="preserve">  </w:t>
      </w:r>
      <w:hyperlink r:id="rId12" w:history="1">
        <w:r w:rsidRPr="00421607">
          <w:rPr>
            <w:rStyle w:val="Hyperlink"/>
            <w:kern w:val="0"/>
            <w14:ligatures w14:val="none"/>
          </w:rPr>
          <w:t>jenny.russon@mcsfoundation.org.uk</w:t>
        </w:r>
      </w:hyperlink>
      <w:r w:rsidRPr="00421607">
        <w:rPr>
          <w:kern w:val="0"/>
          <w14:ligatures w14:val="none"/>
        </w:rPr>
        <w:t xml:space="preserve"> </w:t>
      </w:r>
    </w:p>
    <w:p w14:paraId="6C4859A7" w14:textId="77777777" w:rsidR="00B94ED7" w:rsidRDefault="00B94ED7"/>
    <w:p w14:paraId="1903B611" w14:textId="191378A6" w:rsidR="00B94ED7" w:rsidRDefault="00B94ED7">
      <w:r>
        <w:t xml:space="preserve">Questions: </w:t>
      </w:r>
    </w:p>
    <w:p w14:paraId="12F0C22C" w14:textId="167204DF" w:rsidR="00DA35D7" w:rsidRDefault="00DA35D7" w:rsidP="00DA35D7">
      <w:pPr>
        <w:rPr>
          <w:b/>
          <w:bCs/>
        </w:rPr>
      </w:pPr>
      <w:r w:rsidRPr="00044BA2">
        <w:rPr>
          <w:b/>
          <w:bCs/>
        </w:rPr>
        <w:t xml:space="preserve">Q1. Should DNOs play a role in co-ordinating and supporting a </w:t>
      </w:r>
      <w:r w:rsidR="3FB1947D" w:rsidRPr="67C9E58C">
        <w:rPr>
          <w:b/>
          <w:bCs/>
        </w:rPr>
        <w:t xml:space="preserve">cost </w:t>
      </w:r>
      <w:r w:rsidRPr="00044BA2">
        <w:rPr>
          <w:b/>
          <w:bCs/>
        </w:rPr>
        <w:t xml:space="preserve">effective energy transition through improved planning and supporting/directing targeted delivery? How can they help make the transition more efficient and affordable for everyone, and do they have a role in supporting </w:t>
      </w:r>
      <w:r w:rsidR="44731ABA" w:rsidRPr="67C9E58C">
        <w:rPr>
          <w:b/>
          <w:bCs/>
        </w:rPr>
        <w:t xml:space="preserve">lower </w:t>
      </w:r>
      <w:r w:rsidRPr="00044BA2">
        <w:rPr>
          <w:b/>
          <w:bCs/>
        </w:rPr>
        <w:t>income households?</w:t>
      </w:r>
    </w:p>
    <w:p w14:paraId="0F67EDFA" w14:textId="77777777" w:rsidR="00885FB9" w:rsidRPr="00885FB9" w:rsidRDefault="00885FB9" w:rsidP="00885FB9">
      <w:r w:rsidRPr="00885FB9">
        <w:t>There are two distinct aspects to this question.</w:t>
      </w:r>
    </w:p>
    <w:p w14:paraId="3707A9B8" w14:textId="4E06FF5D" w:rsidR="001400F5" w:rsidRDefault="00885FB9" w:rsidP="00885FB9">
      <w:r w:rsidRPr="00885FB9">
        <w:t>Firstly, on whether DNOs should play a stronger coordinating role</w:t>
      </w:r>
      <w:r w:rsidR="001400F5">
        <w:t xml:space="preserve"> </w:t>
      </w:r>
      <w:r w:rsidR="001400F5" w:rsidRPr="00885FB9">
        <w:t>—</w:t>
      </w:r>
      <w:r w:rsidR="001400F5">
        <w:t xml:space="preserve"> particularly</w:t>
      </w:r>
      <w:r w:rsidRPr="00885FB9">
        <w:t xml:space="preserve"> in improving data provision to Local Authorities and strengthening stakeholder </w:t>
      </w:r>
      <w:r w:rsidR="001400F5" w:rsidRPr="00885FB9">
        <w:t>engagement</w:t>
      </w:r>
      <w:r w:rsidR="001400F5">
        <w:t xml:space="preserve"> — we strongly agree</w:t>
      </w:r>
      <w:r w:rsidRPr="00885FB9">
        <w:t xml:space="preserve">. </w:t>
      </w:r>
    </w:p>
    <w:p w14:paraId="0C2863D6" w14:textId="4A867BC5" w:rsidR="00293095" w:rsidRDefault="00293095" w:rsidP="00885FB9">
      <w:r w:rsidRPr="00D04014">
        <w:t>Historically, DNOs have had a largely passive role in the energy system. Their primary responsibility has been to maintain and reinforce the electricity network in response to demand</w:t>
      </w:r>
      <w:r>
        <w:t xml:space="preserve"> (a reactive approach)</w:t>
      </w:r>
      <w:r w:rsidRPr="00D04014">
        <w:t xml:space="preserve">. However, the transition to net zero is expected to lead to rapid electrification of heat and transport, which </w:t>
      </w:r>
      <w:r w:rsidR="003F2BB2">
        <w:t>will significantly increase electricity demand, and pressure on the networks</w:t>
      </w:r>
      <w:r w:rsidRPr="00D04014">
        <w:t xml:space="preserve">. </w:t>
      </w:r>
      <w:r>
        <w:t>Ofgem have confirmed that DNOs will be required to take a</w:t>
      </w:r>
      <w:r w:rsidRPr="00D04014">
        <w:t xml:space="preserve"> more proactive </w:t>
      </w:r>
      <w:r>
        <w:t>approach to grid reinforcement in ED3,</w:t>
      </w:r>
      <w:r>
        <w:rPr>
          <w:rStyle w:val="FootnoteReference"/>
        </w:rPr>
        <w:footnoteReference w:id="1"/>
      </w:r>
      <w:r w:rsidR="00D41A30">
        <w:t xml:space="preserve"> representing a fundamental </w:t>
      </w:r>
      <w:r>
        <w:t xml:space="preserve">shift. </w:t>
      </w:r>
      <w:r w:rsidR="00EB5327">
        <w:t>This is something that the Foundation has been calling for and supporting as a key milestone for home decarbonisation</w:t>
      </w:r>
      <w:r>
        <w:t>.</w:t>
      </w:r>
      <w:r>
        <w:rPr>
          <w:rStyle w:val="FootnoteReference"/>
        </w:rPr>
        <w:footnoteReference w:id="2"/>
      </w:r>
    </w:p>
    <w:p w14:paraId="549BCD6A" w14:textId="0F6A3D6E" w:rsidR="00293095" w:rsidRDefault="001E2EEC" w:rsidP="00293095">
      <w:r>
        <w:lastRenderedPageBreak/>
        <w:t xml:space="preserve">To support this more proactive approach, and ensure that it remains </w:t>
      </w:r>
      <w:r w:rsidR="00B93116">
        <w:t>efficient</w:t>
      </w:r>
      <w:r>
        <w:t xml:space="preserve">, </w:t>
      </w:r>
      <w:r w:rsidR="00B93116">
        <w:t xml:space="preserve">spatial </w:t>
      </w:r>
      <w:r>
        <w:t xml:space="preserve">energy planning is becoming </w:t>
      </w:r>
      <w:r w:rsidR="00B93116">
        <w:t xml:space="preserve">a key element in the transition to a more decentralised </w:t>
      </w:r>
      <w:r w:rsidR="00885FB9" w:rsidRPr="00885FB9">
        <w:t>energy system,</w:t>
      </w:r>
      <w:r w:rsidR="00B93116">
        <w:t xml:space="preserve"> with</w:t>
      </w:r>
      <w:r w:rsidR="00885FB9" w:rsidRPr="00885FB9">
        <w:t xml:space="preserve"> DNOs play</w:t>
      </w:r>
      <w:r w:rsidR="00C35CFE">
        <w:t>ing</w:t>
      </w:r>
      <w:r w:rsidR="00885FB9" w:rsidRPr="00885FB9">
        <w:t xml:space="preserve"> a </w:t>
      </w:r>
      <w:r w:rsidR="00C35CFE">
        <w:t>key role</w:t>
      </w:r>
      <w:r w:rsidR="00B93116">
        <w:t xml:space="preserve">, </w:t>
      </w:r>
      <w:r w:rsidR="00216181">
        <w:t xml:space="preserve">at </w:t>
      </w:r>
      <w:r w:rsidR="00B93116">
        <w:t xml:space="preserve">both </w:t>
      </w:r>
      <w:r w:rsidR="00216181">
        <w:t>a national and local level</w:t>
      </w:r>
      <w:r w:rsidR="00885FB9" w:rsidRPr="00885FB9">
        <w:t>.</w:t>
      </w:r>
      <w:r w:rsidR="00293095">
        <w:t xml:space="preserve"> </w:t>
      </w:r>
    </w:p>
    <w:p w14:paraId="212158E1" w14:textId="1E8257EB" w:rsidR="00885FB9" w:rsidRPr="00885FB9" w:rsidRDefault="00885FB9" w:rsidP="00885FB9">
      <w:r w:rsidRPr="00885FB9">
        <w:t xml:space="preserve">Improving the accessibility, consistency and usefulness of network data is essential. </w:t>
      </w:r>
      <w:r w:rsidR="00216181">
        <w:t>C</w:t>
      </w:r>
      <w:r w:rsidRPr="00885FB9">
        <w:t>hallenges in developing local energy plans hav</w:t>
      </w:r>
      <w:r w:rsidR="00216181">
        <w:t>e in part</w:t>
      </w:r>
      <w:r w:rsidRPr="00885FB9">
        <w:t xml:space="preserve"> stemmed from unclear or inconsistent data from DNOs, so</w:t>
      </w:r>
      <w:r w:rsidR="004F0D8D">
        <w:t xml:space="preserve"> we believe</w:t>
      </w:r>
      <w:r w:rsidRPr="00885FB9">
        <w:t xml:space="preserve"> progress in this area would be a significant enabler of better planning outcomes</w:t>
      </w:r>
      <w:r w:rsidR="004F0D8D">
        <w:t xml:space="preserve"> in general, not just associated to </w:t>
      </w:r>
      <w:r w:rsidR="00B357BC">
        <w:t>low carbon technologies (LCTs) and energy efficiency (EE) measures</w:t>
      </w:r>
      <w:r w:rsidRPr="00885FB9">
        <w:t>.</w:t>
      </w:r>
      <w:r w:rsidR="001400F5">
        <w:rPr>
          <w:rStyle w:val="FootnoteReference"/>
        </w:rPr>
        <w:footnoteReference w:id="3"/>
      </w:r>
      <w:r w:rsidR="00C10FDC">
        <w:t xml:space="preserve"> Our one area of caution would be </w:t>
      </w:r>
      <w:r w:rsidR="00843072">
        <w:t>that there are currently workstreams to try and improve data visibility and sharing</w:t>
      </w:r>
      <w:r w:rsidR="00F619EE">
        <w:t xml:space="preserve">, including </w:t>
      </w:r>
      <w:r w:rsidR="00F15589">
        <w:t xml:space="preserve">DESNZ’s </w:t>
      </w:r>
      <w:r w:rsidR="00F619EE">
        <w:t>I</w:t>
      </w:r>
      <w:r w:rsidR="009B61AE">
        <w:t xml:space="preserve">mproving </w:t>
      </w:r>
      <w:r w:rsidR="0054745E">
        <w:t>Data A</w:t>
      </w:r>
      <w:r w:rsidR="009B61AE">
        <w:t xml:space="preserve">sset </w:t>
      </w:r>
      <w:r w:rsidR="0054745E">
        <w:t>V</w:t>
      </w:r>
      <w:r w:rsidR="009B61AE">
        <w:t>isibility</w:t>
      </w:r>
      <w:r w:rsidR="0054745E">
        <w:t xml:space="preserve"> </w:t>
      </w:r>
      <w:r w:rsidR="00F15589">
        <w:t>project</w:t>
      </w:r>
      <w:r w:rsidR="00843072">
        <w:t>.</w:t>
      </w:r>
      <w:r w:rsidR="00D70C59">
        <w:t xml:space="preserve"> Therefore, avoiding duplication and aligning with other areas will be </w:t>
      </w:r>
      <w:r w:rsidR="00DC7070">
        <w:t xml:space="preserve">critical to the success of this. </w:t>
      </w:r>
    </w:p>
    <w:p w14:paraId="175B670A" w14:textId="1D9D638E" w:rsidR="00885FB9" w:rsidRPr="00885FB9" w:rsidRDefault="00885FB9" w:rsidP="00885FB9">
      <w:r w:rsidRPr="00885FB9">
        <w:t xml:space="preserve">Secondly, the question of whether DNOs should take on an expanded role, including supporting lower-income households, is more complex. </w:t>
      </w:r>
      <w:r w:rsidR="00821922" w:rsidRPr="00821922">
        <w:t xml:space="preserve">The Government has also signalled its intention to introduce a new, centralised energy efficiency scheme for low-income households as part of the Warm Homes Plan. However, there is currently limited clarity on delivery mechanisms, including whether this will be led centrally, devolved to local or combined authorities, or involve a role for DNOs. As a result, the future role of DNOs in supporting low-income households remains uncertain. </w:t>
      </w:r>
      <w:r w:rsidRPr="00885FB9">
        <w:t>This would</w:t>
      </w:r>
      <w:r w:rsidR="00821922">
        <w:t>, however,</w:t>
      </w:r>
      <w:r w:rsidRPr="00885FB9">
        <w:t xml:space="preserve"> represent a substantial shift in their responsibilities. While we recognise the potential benefits of a place-based </w:t>
      </w:r>
      <w:r w:rsidR="007E0D8F" w:rsidRPr="00DC7070">
        <w:t xml:space="preserve">delivery </w:t>
      </w:r>
      <w:r w:rsidRPr="00885FB9">
        <w:t>approach—including more efficient network planning, local supply chain development, economies of scale, and the ability to flexibly manage assets to deliver system benefits—there remain important uncertainties.</w:t>
      </w:r>
    </w:p>
    <w:p w14:paraId="288CA00F" w14:textId="10C41C80" w:rsidR="00885FB9" w:rsidRPr="00885FB9" w:rsidRDefault="00885FB9" w:rsidP="00885FB9">
      <w:r w:rsidRPr="00885FB9">
        <w:t xml:space="preserve">In particular, </w:t>
      </w:r>
      <w:r w:rsidR="00CD62F5">
        <w:t>as</w:t>
      </w:r>
      <w:r w:rsidRPr="00885FB9">
        <w:t xml:space="preserve"> there have been </w:t>
      </w:r>
      <w:r w:rsidR="00CD62F5">
        <w:t>only limited</w:t>
      </w:r>
      <w:r w:rsidRPr="00885FB9">
        <w:t xml:space="preserve"> small-scale examples of place-based retrofit and low-carbon technology (LCT) deployment,</w:t>
      </w:r>
      <w:r w:rsidR="00DD53BE">
        <w:rPr>
          <w:rStyle w:val="FootnoteReference"/>
        </w:rPr>
        <w:footnoteReference w:id="4"/>
      </w:r>
      <w:r w:rsidR="00DD53BE">
        <w:t xml:space="preserve"> </w:t>
      </w:r>
      <w:r w:rsidRPr="00885FB9">
        <w:t>it is not yet clear whether these approaches can be effectively scaled. There is also a broader question about how such a role would interact with existing Government schemes, particularly those targeting low-income households.</w:t>
      </w:r>
    </w:p>
    <w:p w14:paraId="35E5267B" w14:textId="7D677CFD" w:rsidR="00885FB9" w:rsidRPr="00885FB9" w:rsidRDefault="00885FB9" w:rsidP="00885FB9">
      <w:r w:rsidRPr="00885FB9">
        <w:t>Low-income support schemes should primarily focus on enabling households to transition to low-carbon heating, particularly heat pumps. While heat pumps may offer some flexibility potential,</w:t>
      </w:r>
      <w:r w:rsidR="00757B9D">
        <w:rPr>
          <w:rStyle w:val="FootnoteReference"/>
        </w:rPr>
        <w:footnoteReference w:id="5"/>
      </w:r>
      <w:r w:rsidRPr="00885FB9">
        <w:t xml:space="preserve"> </w:t>
      </w:r>
      <w:r w:rsidR="00757B9D">
        <w:rPr>
          <w:rStyle w:val="FootnoteReference"/>
        </w:rPr>
        <w:footnoteReference w:id="6"/>
      </w:r>
      <w:r w:rsidR="00757B9D">
        <w:t xml:space="preserve"> </w:t>
      </w:r>
      <w:r w:rsidRPr="00885FB9">
        <w:t xml:space="preserve">further evidence is needed to fully understand this. </w:t>
      </w:r>
      <w:r w:rsidR="00CD62F5">
        <w:t>Generally, while heat pumps reduce overall energy demand due to their efficiency, they do increase peak electricity demand.</w:t>
      </w:r>
      <w:r w:rsidR="00CD62F5">
        <w:rPr>
          <w:rStyle w:val="FootnoteReference"/>
        </w:rPr>
        <w:footnoteReference w:id="7"/>
      </w:r>
      <w:r w:rsidR="00CD62F5">
        <w:t xml:space="preserve"> </w:t>
      </w:r>
      <w:r w:rsidRPr="00885FB9">
        <w:t xml:space="preserve"> </w:t>
      </w:r>
      <w:r w:rsidR="00CD62F5">
        <w:t xml:space="preserve">This could </w:t>
      </w:r>
      <w:r w:rsidRPr="00885FB9">
        <w:t>place additional strain on the grid</w:t>
      </w:r>
      <w:r w:rsidR="00CD62F5">
        <w:t>, in particular where capacity is already limited</w:t>
      </w:r>
      <w:r w:rsidRPr="00885FB9">
        <w:t xml:space="preserve">. This raises questions about alignment between ED3 objectives and wider national energy efficiency and fuel poverty schemes, such as the Warm Homes </w:t>
      </w:r>
      <w:r w:rsidR="00EA4D10">
        <w:t xml:space="preserve">Plan </w:t>
      </w:r>
      <w:r w:rsidRPr="00885FB9">
        <w:t>programmes, which are already delivering targeted support.</w:t>
      </w:r>
    </w:p>
    <w:p w14:paraId="35F08749" w14:textId="58EAC0BC" w:rsidR="00693356" w:rsidRPr="003F6A34" w:rsidRDefault="00885FB9" w:rsidP="00885FB9">
      <w:r w:rsidRPr="00885FB9">
        <w:lastRenderedPageBreak/>
        <w:t xml:space="preserve">If such activity were to proceed solely within the ED3 framework, its overall impact may be limited if driven primarily by network needs. That said, we are </w:t>
      </w:r>
      <w:r w:rsidR="009B7D60">
        <w:t xml:space="preserve">very </w:t>
      </w:r>
      <w:r w:rsidRPr="00885FB9">
        <w:t xml:space="preserve">supportive of the installation of solar PV and batteries, particularly for low-income households where these can reduce energy </w:t>
      </w:r>
      <w:r w:rsidR="00AC671D" w:rsidRPr="00885FB9">
        <w:t>bills</w:t>
      </w:r>
      <w:r w:rsidR="00AC671D">
        <w:t xml:space="preserve"> and</w:t>
      </w:r>
      <w:r w:rsidR="0020499C">
        <w:t xml:space="preserve"> provide wider</w:t>
      </w:r>
      <w:r w:rsidR="00844197">
        <w:t xml:space="preserve"> energy system benefits from low-carbon flexibility. </w:t>
      </w:r>
      <w:r w:rsidR="0020499C">
        <w:t xml:space="preserve">A report by Cornwall Insight found that if domestic flexibility was </w:t>
      </w:r>
      <w:r w:rsidR="00693356">
        <w:t>unlocked, it could save households</w:t>
      </w:r>
      <w:r w:rsidR="00402550">
        <w:t xml:space="preserve"> up to £375 per year, </w:t>
      </w:r>
      <w:r w:rsidR="00882F07">
        <w:t>and even for those</w:t>
      </w:r>
      <w:r w:rsidR="00693356">
        <w:t xml:space="preserve"> that are not using electricity flexibility £1</w:t>
      </w:r>
      <w:r w:rsidR="00882F07">
        <w:t>15</w:t>
      </w:r>
      <w:r w:rsidR="00693356">
        <w:t xml:space="preserve"> per year in 2040, due to wholesale cost reductions</w:t>
      </w:r>
      <w:r w:rsidRPr="00885FB9">
        <w:t>.</w:t>
      </w:r>
      <w:r w:rsidR="00882F07">
        <w:rPr>
          <w:rStyle w:val="FootnoteReference"/>
        </w:rPr>
        <w:footnoteReference w:id="8"/>
      </w:r>
      <w:r w:rsidR="00882F07">
        <w:t xml:space="preserve"> Wider energy system benefits could accumulate to £14.1 billion.</w:t>
      </w:r>
      <w:r w:rsidR="00AC671D">
        <w:t xml:space="preserve"> However, expectations need to be managed. In ED2</w:t>
      </w:r>
      <w:r w:rsidR="003F6A34">
        <w:t xml:space="preserve">, </w:t>
      </w:r>
      <w:r w:rsidR="003F6A34" w:rsidRPr="003F6A34">
        <w:t xml:space="preserve">the framework does allow and, in some cases, encourage DNOs to </w:t>
      </w:r>
      <w:r w:rsidR="00F2044E">
        <w:t>focus on flexibility and non-network</w:t>
      </w:r>
      <w:r w:rsidR="003F6A34" w:rsidRPr="003F6A34">
        <w:t xml:space="preserve"> measures where they deliver clear network (grid) benefits.</w:t>
      </w:r>
      <w:r w:rsidR="00F2044E">
        <w:rPr>
          <w:rStyle w:val="FootnoteReference"/>
        </w:rPr>
        <w:footnoteReference w:id="9"/>
      </w:r>
      <w:r w:rsidR="00D542C1">
        <w:t xml:space="preserve"> LCTs and EE in homes could help to provide this.</w:t>
      </w:r>
      <w:r w:rsidR="00C913C3">
        <w:t xml:space="preserve"> And</w:t>
      </w:r>
      <w:r w:rsidR="00D542C1">
        <w:t xml:space="preserve"> yet, anecdotally, we have heard</w:t>
      </w:r>
      <w:r w:rsidR="008E718D">
        <w:t xml:space="preserve"> </w:t>
      </w:r>
      <w:r w:rsidR="00D542C1">
        <w:t xml:space="preserve">that </w:t>
      </w:r>
      <w:r w:rsidR="008E718D">
        <w:t>this hasn’t taken place on a large-scale basis.</w:t>
      </w:r>
    </w:p>
    <w:p w14:paraId="4A0D9CE5" w14:textId="307280F9" w:rsidR="00773169" w:rsidRDefault="008E718D" w:rsidP="00885FB9">
      <w:r>
        <w:t xml:space="preserve">Moreover, the benefits of installing solar PV and battery storage seem to be predicated around </w:t>
      </w:r>
      <w:r w:rsidR="00D542C1">
        <w:t xml:space="preserve">direct load control </w:t>
      </w:r>
      <w:r>
        <w:t>being enabled. C</w:t>
      </w:r>
      <w:r w:rsidR="00885FB9" w:rsidRPr="00885FB9">
        <w:t>areful design will be critical—especially where direct control of household assets is envisaged. Building and maintaining trust with households, particularly vulnerable and low-income groups, will be essential</w:t>
      </w:r>
      <w:r w:rsidR="00883836">
        <w:t>, and mass-scale acceptance of this should not be taken as a given.</w:t>
      </w:r>
      <w:r w:rsidR="00883836">
        <w:rPr>
          <w:rStyle w:val="FootnoteReference"/>
        </w:rPr>
        <w:footnoteReference w:id="10"/>
      </w:r>
      <w:r w:rsidR="00883836">
        <w:t xml:space="preserve"> There have been mixed </w:t>
      </w:r>
      <w:r w:rsidR="00550023">
        <w:t>results in research around acceptance in the UK towards automation,</w:t>
      </w:r>
      <w:r w:rsidR="005B6787">
        <w:rPr>
          <w:rStyle w:val="FootnoteReference"/>
        </w:rPr>
        <w:footnoteReference w:id="11"/>
      </w:r>
      <w:r w:rsidR="003905D7">
        <w:t xml:space="preserve"> </w:t>
      </w:r>
      <w:r w:rsidR="003905D7">
        <w:rPr>
          <w:rStyle w:val="FootnoteReference"/>
        </w:rPr>
        <w:footnoteReference w:id="12"/>
      </w:r>
      <w:r w:rsidR="00550023">
        <w:t xml:space="preserve"> which needs to be considered.</w:t>
      </w:r>
      <w:r w:rsidR="00885FB9" w:rsidRPr="00885FB9">
        <w:t xml:space="preserve"> </w:t>
      </w:r>
    </w:p>
    <w:p w14:paraId="33021E04" w14:textId="3A9EB98F" w:rsidR="00885FB9" w:rsidRPr="00885FB9" w:rsidRDefault="00885FB9" w:rsidP="00885FB9">
      <w:r w:rsidRPr="00885FB9">
        <w:t>It would also be useful to better understand the extent to which areas with high concentrations of low-income households overlap with network constraint hotspot</w:t>
      </w:r>
      <w:r w:rsidR="00234AAE">
        <w:t xml:space="preserve">, to fully understand whether this could have a positive impact on low-income households. </w:t>
      </w:r>
    </w:p>
    <w:p w14:paraId="7346576B" w14:textId="11B9850E" w:rsidR="00885FB9" w:rsidRPr="00885FB9" w:rsidRDefault="00885FB9" w:rsidP="00885FB9">
      <w:r w:rsidRPr="00885FB9">
        <w:t>Finally, there is a fundamental question as to whether DNOs themselves are willing to take on this expanded role. While there have been promising pilot projects, scaling this approach would require consistent buy-in across all DNOs. If DNOs are expected to play a central coordinating role—potentially including responsibilities around finance and procurement—there must be clear incentives. It is not yet evident whether network savings alone would be sufficient to justify taking on such a significant expansion of responsibilities.</w:t>
      </w:r>
    </w:p>
    <w:p w14:paraId="5DD09743" w14:textId="6BEFAEF3" w:rsidR="00D817DB" w:rsidRPr="006C1E4F" w:rsidRDefault="00C62230" w:rsidP="00D817DB">
      <w:r>
        <w:t xml:space="preserve">To conclude, we are supportive of DNOs taking on an “Enhanced Co-ordination” role as defined in the consultation, but still have </w:t>
      </w:r>
      <w:r w:rsidR="00F840AF">
        <w:t xml:space="preserve">some concerns and doubts around an expanded role. If Ofgem do move forward with this, it needs to be carefully implemented and learn </w:t>
      </w:r>
      <w:r w:rsidR="00F840AF" w:rsidRPr="006C1E4F">
        <w:t xml:space="preserve">from the mistakes and successes of previous LCT and energy efficiency schemes. </w:t>
      </w:r>
    </w:p>
    <w:p w14:paraId="46987D6A" w14:textId="781C7ACE" w:rsidR="00D817DB" w:rsidRDefault="00D817DB" w:rsidP="00D817DB">
      <w:pPr>
        <w:rPr>
          <w:b/>
          <w:bCs/>
        </w:rPr>
      </w:pPr>
      <w:r w:rsidRPr="006C1E4F">
        <w:rPr>
          <w:b/>
          <w:bCs/>
        </w:rPr>
        <w:t>Q2. Do you agree with the overall rationale and scope of 'Enhanced Co-ordination'?</w:t>
      </w:r>
      <w:r w:rsidRPr="776E9421">
        <w:rPr>
          <w:b/>
          <w:bCs/>
        </w:rPr>
        <w:t xml:space="preserve"> </w:t>
      </w:r>
    </w:p>
    <w:p w14:paraId="63103754" w14:textId="2E428A4F" w:rsidR="00D817DB" w:rsidRDefault="00D817DB" w:rsidP="00D817DB">
      <w:r w:rsidRPr="00D817DB">
        <w:t>We supp</w:t>
      </w:r>
      <w:r>
        <w:t>ort the overall rationale and scope of ‘Enhanced Co-ordination'.</w:t>
      </w:r>
    </w:p>
    <w:p w14:paraId="002779F8" w14:textId="74187AE6" w:rsidR="00D817DB" w:rsidRDefault="00D817DB" w:rsidP="00D817DB">
      <w:pPr>
        <w:rPr>
          <w:rFonts w:eastAsia="TT Norms Pro" w:cs="TT Norms Pro"/>
          <w:color w:val="000000" w:themeColor="text1"/>
        </w:rPr>
      </w:pPr>
      <w:r>
        <w:lastRenderedPageBreak/>
        <w:t xml:space="preserve">We strongly believe that the sharing and better presentation of data to key stakeholders would provide many benefits to the rollout of LCT and EE measures.  By building on the License Obligation Enhanced Co-ordination, where DNOs already have a responsibility to provide certain data to their stakeholders, stakeholder and DNO relationships can be strengthened. Previous studies have shown that </w:t>
      </w:r>
      <w:r w:rsidRPr="4AED2359">
        <w:rPr>
          <w:rFonts w:eastAsia="TT Norms Pro" w:cs="TT Norms Pro"/>
          <w:color w:val="000000" w:themeColor="text1"/>
        </w:rPr>
        <w:t>local authorities often lack access to sufficiently granular and interpretable electricity network data, particularly at the low-voltage level.</w:t>
      </w:r>
      <w:r w:rsidR="000D5E9E">
        <w:rPr>
          <w:rStyle w:val="FootnoteReference"/>
          <w:rFonts w:eastAsia="TT Norms Pro" w:cs="TT Norms Pro"/>
          <w:color w:val="000000" w:themeColor="text1"/>
        </w:rPr>
        <w:footnoteReference w:id="13"/>
      </w:r>
      <w:r w:rsidRPr="4AED2359">
        <w:rPr>
          <w:rFonts w:eastAsia="TT Norms Pro" w:cs="TT Norms Pro"/>
          <w:color w:val="000000" w:themeColor="text1"/>
        </w:rPr>
        <w:t xml:space="preserve"> Without this, it limits their ability to co-ordinate retrofit programmes effectively</w:t>
      </w:r>
      <w:r w:rsidR="00177E74">
        <w:rPr>
          <w:rFonts w:eastAsia="TT Norms Pro" w:cs="TT Norms Pro"/>
          <w:color w:val="000000" w:themeColor="text1"/>
        </w:rPr>
        <w:t xml:space="preserve"> and carry out wider local energy planning</w:t>
      </w:r>
      <w:r w:rsidRPr="4AED2359">
        <w:rPr>
          <w:rFonts w:eastAsia="TT Norms Pro" w:cs="TT Norms Pro"/>
          <w:color w:val="000000" w:themeColor="text1"/>
        </w:rPr>
        <w:t>. DNO and local authority-led approaches should align to ensure the smooth running of network planning, enabling wider benefits</w:t>
      </w:r>
      <w:r w:rsidR="00073A66">
        <w:rPr>
          <w:rFonts w:eastAsia="TT Norms Pro" w:cs="TT Norms Pro"/>
          <w:color w:val="000000" w:themeColor="text1"/>
        </w:rPr>
        <w:t>.</w:t>
      </w:r>
      <w:r w:rsidRPr="4F9BADD1">
        <w:rPr>
          <w:rStyle w:val="FootnoteReference"/>
          <w:rFonts w:eastAsia="TT Norms Pro" w:cs="TT Norms Pro"/>
          <w:color w:val="000000" w:themeColor="text1"/>
        </w:rPr>
        <w:footnoteReference w:id="14"/>
      </w:r>
      <w:r w:rsidR="00127DEC">
        <w:rPr>
          <w:rFonts w:cs="TT Norms Pro"/>
        </w:rPr>
        <w:t xml:space="preserve"> </w:t>
      </w:r>
      <w:r w:rsidR="00177E74">
        <w:rPr>
          <w:rFonts w:eastAsia="TT Norms Pro" w:cs="TT Norms Pro"/>
          <w:color w:val="000000" w:themeColor="text1"/>
        </w:rPr>
        <w:t xml:space="preserve">There </w:t>
      </w:r>
      <w:r w:rsidR="0098245E">
        <w:rPr>
          <w:rFonts w:eastAsia="TT Norms Pro" w:cs="TT Norms Pro"/>
          <w:color w:val="000000" w:themeColor="text1"/>
        </w:rPr>
        <w:t>have been previous</w:t>
      </w:r>
      <w:r w:rsidR="0098245E" w:rsidRPr="4AED2359">
        <w:rPr>
          <w:rFonts w:eastAsia="TT Norms Pro" w:cs="TT Norms Pro"/>
          <w:color w:val="000000" w:themeColor="text1"/>
        </w:rPr>
        <w:t xml:space="preserve"> suggest</w:t>
      </w:r>
      <w:r w:rsidR="0098245E">
        <w:rPr>
          <w:rFonts w:eastAsia="TT Norms Pro" w:cs="TT Norms Pro"/>
          <w:color w:val="000000" w:themeColor="text1"/>
        </w:rPr>
        <w:t>ions around</w:t>
      </w:r>
      <w:r w:rsidR="0098245E" w:rsidRPr="4AED2359">
        <w:rPr>
          <w:rFonts w:eastAsia="TT Norms Pro" w:cs="TT Norms Pro"/>
          <w:color w:val="000000" w:themeColor="text1"/>
        </w:rPr>
        <w:t xml:space="preserve"> appointing a central body to aid local authorities with local area energy plans, starting with those with significant grid congestion.</w:t>
      </w:r>
      <w:r w:rsidR="0098245E">
        <w:rPr>
          <w:rStyle w:val="FootnoteReference"/>
          <w:rFonts w:eastAsia="TT Norms Pro" w:cs="TT Norms Pro"/>
          <w:color w:val="000000" w:themeColor="text1"/>
        </w:rPr>
        <w:footnoteReference w:id="15"/>
      </w:r>
      <w:r w:rsidR="00A73B3D">
        <w:rPr>
          <w:rFonts w:eastAsia="TT Norms Pro" w:cs="TT Norms Pro"/>
          <w:color w:val="000000" w:themeColor="text1"/>
        </w:rPr>
        <w:t xml:space="preserve"> </w:t>
      </w:r>
      <w:r w:rsidR="00A73B3D" w:rsidRPr="4AED2359">
        <w:rPr>
          <w:rFonts w:eastAsia="TT Norms Pro" w:cs="TT Norms Pro"/>
          <w:color w:val="000000" w:themeColor="text1"/>
        </w:rPr>
        <w:t>It may be worth considering who this central body can be, and if DNOs are willing to become this.</w:t>
      </w:r>
    </w:p>
    <w:p w14:paraId="6E91AF00" w14:textId="0C03D539" w:rsidR="00D817DB" w:rsidRDefault="00D817DB" w:rsidP="00D817DB">
      <w:pPr>
        <w:rPr>
          <w:rFonts w:eastAsia="TT Norms Pro" w:cs="TT Norms Pro"/>
          <w:color w:val="000000" w:themeColor="text1"/>
        </w:rPr>
      </w:pPr>
      <w:r w:rsidRPr="4AED2359">
        <w:rPr>
          <w:rFonts w:eastAsia="TT Norms Pro" w:cs="TT Norms Pro"/>
          <w:color w:val="000000" w:themeColor="text1"/>
        </w:rPr>
        <w:t xml:space="preserve">DNOs will need to connect tens of millions of </w:t>
      </w:r>
      <w:r w:rsidR="008F5EDF">
        <w:rPr>
          <w:rFonts w:eastAsia="TT Norms Pro" w:cs="TT Norms Pro"/>
          <w:color w:val="000000" w:themeColor="text1"/>
        </w:rPr>
        <w:t>LCTs</w:t>
      </w:r>
      <w:r w:rsidRPr="4AED2359">
        <w:rPr>
          <w:rFonts w:eastAsia="TT Norms Pro" w:cs="TT Norms Pro"/>
          <w:color w:val="000000" w:themeColor="text1"/>
        </w:rPr>
        <w:t xml:space="preserve"> over the next 25 years, meaning that the LCT connections </w:t>
      </w:r>
      <w:r w:rsidR="005354D3">
        <w:rPr>
          <w:rFonts w:eastAsia="TT Norms Pro" w:cs="TT Norms Pro"/>
          <w:color w:val="000000" w:themeColor="text1"/>
        </w:rPr>
        <w:t>process</w:t>
      </w:r>
      <w:r w:rsidRPr="4AED2359">
        <w:rPr>
          <w:rFonts w:eastAsia="TT Norms Pro" w:cs="TT Norms Pro"/>
          <w:color w:val="000000" w:themeColor="text1"/>
        </w:rPr>
        <w:t xml:space="preserve"> must improve. The MCS Foundation commissioned a report by Regen </w:t>
      </w:r>
      <w:r w:rsidR="00F06CE1">
        <w:rPr>
          <w:rFonts w:eastAsia="TT Norms Pro" w:cs="TT Norms Pro"/>
          <w:color w:val="000000" w:themeColor="text1"/>
        </w:rPr>
        <w:t xml:space="preserve">highlighting the importance of </w:t>
      </w:r>
      <w:r w:rsidRPr="4AED2359">
        <w:rPr>
          <w:rFonts w:eastAsia="TT Norms Pro" w:cs="TT Norms Pro"/>
          <w:color w:val="000000" w:themeColor="text1"/>
        </w:rPr>
        <w:t>a smoother connections process including connections readiness, the application process</w:t>
      </w:r>
      <w:r w:rsidR="00E76F98">
        <w:rPr>
          <w:rFonts w:eastAsia="TT Norms Pro" w:cs="TT Norms Pro"/>
          <w:color w:val="000000" w:themeColor="text1"/>
        </w:rPr>
        <w:t xml:space="preserve">, </w:t>
      </w:r>
      <w:r w:rsidRPr="4AED2359">
        <w:rPr>
          <w:rFonts w:eastAsia="TT Norms Pro" w:cs="TT Norms Pro"/>
          <w:color w:val="000000" w:themeColor="text1"/>
        </w:rPr>
        <w:t>upgrades and enabling works.</w:t>
      </w:r>
      <w:r w:rsidR="00B436D7">
        <w:rPr>
          <w:rStyle w:val="FootnoteReference"/>
          <w:rFonts w:eastAsia="TT Norms Pro" w:cs="TT Norms Pro"/>
          <w:color w:val="000000" w:themeColor="text1"/>
        </w:rPr>
        <w:footnoteReference w:id="16"/>
      </w:r>
      <w:r w:rsidRPr="4AED2359">
        <w:rPr>
          <w:rFonts w:eastAsia="TT Norms Pro" w:cs="TT Norms Pro"/>
          <w:color w:val="000000" w:themeColor="text1"/>
        </w:rPr>
        <w:t xml:space="preserve"> </w:t>
      </w:r>
      <w:r w:rsidR="007530ED" w:rsidRPr="4AED2359">
        <w:rPr>
          <w:rFonts w:eastAsia="TT Norms Pro" w:cs="TT Norms Pro"/>
          <w:color w:val="000000" w:themeColor="text1"/>
        </w:rPr>
        <w:t>DNOs risk causing delay</w:t>
      </w:r>
      <w:r w:rsidR="004F6831">
        <w:rPr>
          <w:rFonts w:eastAsia="TT Norms Pro" w:cs="TT Norms Pro"/>
          <w:color w:val="000000" w:themeColor="text1"/>
        </w:rPr>
        <w:t>s</w:t>
      </w:r>
      <w:r w:rsidR="007530ED" w:rsidRPr="4AED2359">
        <w:rPr>
          <w:rFonts w:eastAsia="TT Norms Pro" w:cs="TT Norms Pro"/>
          <w:color w:val="000000" w:themeColor="text1"/>
        </w:rPr>
        <w:t xml:space="preserve"> and uncertainty, </w:t>
      </w:r>
      <w:r w:rsidR="004F6831">
        <w:rPr>
          <w:rFonts w:eastAsia="TT Norms Pro" w:cs="TT Norms Pro"/>
          <w:color w:val="000000" w:themeColor="text1"/>
        </w:rPr>
        <w:t xml:space="preserve">which can </w:t>
      </w:r>
      <w:r w:rsidR="007530ED" w:rsidRPr="4AED2359">
        <w:rPr>
          <w:rFonts w:eastAsia="TT Norms Pro" w:cs="TT Norms Pro"/>
          <w:color w:val="000000" w:themeColor="text1"/>
        </w:rPr>
        <w:t>ultimately lea</w:t>
      </w:r>
      <w:r w:rsidR="004F6831">
        <w:rPr>
          <w:rFonts w:eastAsia="TT Norms Pro" w:cs="TT Norms Pro"/>
          <w:color w:val="000000" w:themeColor="text1"/>
        </w:rPr>
        <w:t>d</w:t>
      </w:r>
      <w:r w:rsidR="007530ED" w:rsidRPr="4AED2359">
        <w:rPr>
          <w:rFonts w:eastAsia="TT Norms Pro" w:cs="TT Norms Pro"/>
          <w:color w:val="000000" w:themeColor="text1"/>
        </w:rPr>
        <w:t xml:space="preserve"> to customer drop out of </w:t>
      </w:r>
      <w:r w:rsidR="00C37F3C">
        <w:rPr>
          <w:rFonts w:eastAsia="TT Norms Pro" w:cs="TT Norms Pro"/>
          <w:color w:val="000000" w:themeColor="text1"/>
        </w:rPr>
        <w:t>LCT installations,</w:t>
      </w:r>
      <w:r w:rsidR="007530ED">
        <w:rPr>
          <w:rStyle w:val="FootnoteReference"/>
          <w:rFonts w:eastAsia="TT Norms Pro" w:cs="TT Norms Pro"/>
          <w:color w:val="000000" w:themeColor="text1"/>
        </w:rPr>
        <w:footnoteReference w:id="17"/>
      </w:r>
      <w:r w:rsidR="007530ED" w:rsidRPr="4AED2359">
        <w:rPr>
          <w:rFonts w:eastAsia="TT Norms Pro" w:cs="TT Norms Pro"/>
          <w:color w:val="000000" w:themeColor="text1"/>
        </w:rPr>
        <w:t xml:space="preserve">  </w:t>
      </w:r>
      <w:r w:rsidR="00C37F3C">
        <w:rPr>
          <w:rFonts w:eastAsia="TT Norms Pro" w:cs="TT Norms Pro"/>
          <w:color w:val="000000" w:themeColor="text1"/>
        </w:rPr>
        <w:t>in particular for</w:t>
      </w:r>
      <w:r w:rsidR="007E723E">
        <w:rPr>
          <w:rFonts w:eastAsia="TT Norms Pro" w:cs="TT Norms Pro"/>
          <w:color w:val="000000" w:themeColor="text1"/>
        </w:rPr>
        <w:t xml:space="preserve"> heat pumps</w:t>
      </w:r>
      <w:r w:rsidR="007530ED" w:rsidRPr="4AED2359">
        <w:rPr>
          <w:rFonts w:eastAsia="TT Norms Pro" w:cs="TT Norms Pro"/>
          <w:color w:val="000000" w:themeColor="text1"/>
        </w:rPr>
        <w:t>,</w:t>
      </w:r>
      <w:r w:rsidR="00C37F3C">
        <w:rPr>
          <w:rFonts w:eastAsia="TT Norms Pro" w:cs="TT Norms Pro"/>
          <w:color w:val="000000" w:themeColor="text1"/>
        </w:rPr>
        <w:t xml:space="preserve"> </w:t>
      </w:r>
      <w:r w:rsidR="007E723E">
        <w:rPr>
          <w:rFonts w:eastAsia="TT Norms Pro" w:cs="TT Norms Pro"/>
          <w:color w:val="000000" w:themeColor="text1"/>
        </w:rPr>
        <w:t>for which delays can result in them not having a heating system</w:t>
      </w:r>
      <w:r w:rsidR="007530ED" w:rsidRPr="4AED2359">
        <w:rPr>
          <w:rFonts w:eastAsia="TT Norms Pro" w:cs="TT Norms Pro"/>
          <w:color w:val="000000" w:themeColor="text1"/>
        </w:rPr>
        <w:t xml:space="preserve">. </w:t>
      </w:r>
      <w:r w:rsidR="005A517D">
        <w:rPr>
          <w:rFonts w:eastAsia="TT Norms Pro" w:cs="TT Norms Pro"/>
          <w:color w:val="000000" w:themeColor="text1"/>
        </w:rPr>
        <w:t xml:space="preserve">We believe that </w:t>
      </w:r>
      <w:r w:rsidR="00911FBB">
        <w:rPr>
          <w:rFonts w:eastAsia="TT Norms Pro" w:cs="TT Norms Pro"/>
          <w:color w:val="000000" w:themeColor="text1"/>
        </w:rPr>
        <w:t xml:space="preserve">better data sharing </w:t>
      </w:r>
      <w:r w:rsidR="0098245E">
        <w:rPr>
          <w:rFonts w:eastAsia="TT Norms Pro" w:cs="TT Norms Pro"/>
          <w:color w:val="000000" w:themeColor="text1"/>
        </w:rPr>
        <w:t>can help support this</w:t>
      </w:r>
      <w:r w:rsidR="006C1E4F">
        <w:rPr>
          <w:rFonts w:eastAsia="TT Norms Pro" w:cs="TT Norms Pro"/>
          <w:color w:val="000000" w:themeColor="text1"/>
        </w:rPr>
        <w:t>, t</w:t>
      </w:r>
      <w:r w:rsidR="00E315A8">
        <w:rPr>
          <w:rFonts w:eastAsia="TT Norms Pro" w:cs="TT Norms Pro"/>
          <w:color w:val="000000" w:themeColor="text1"/>
        </w:rPr>
        <w:t>hough it</w:t>
      </w:r>
      <w:r w:rsidRPr="4AED2359">
        <w:rPr>
          <w:rFonts w:eastAsia="TT Norms Pro" w:cs="TT Norms Pro"/>
          <w:color w:val="000000" w:themeColor="text1"/>
        </w:rPr>
        <w:t xml:space="preserve"> is important that the </w:t>
      </w:r>
      <w:r w:rsidR="00E315A8">
        <w:rPr>
          <w:rFonts w:eastAsia="TT Norms Pro" w:cs="TT Norms Pro"/>
          <w:color w:val="000000" w:themeColor="text1"/>
        </w:rPr>
        <w:t>data</w:t>
      </w:r>
      <w:r w:rsidRPr="4AED2359">
        <w:rPr>
          <w:rFonts w:eastAsia="TT Norms Pro" w:cs="TT Norms Pro"/>
          <w:color w:val="000000" w:themeColor="text1"/>
        </w:rPr>
        <w:t xml:space="preserve"> is user-friendly, simple and consistent. </w:t>
      </w:r>
      <w:r w:rsidRPr="4AED2359">
        <w:rPr>
          <w:rStyle w:val="FootnoteReference"/>
          <w:rFonts w:eastAsia="TT Norms Pro" w:cs="TT Norms Pro"/>
          <w:color w:val="000000" w:themeColor="text1"/>
        </w:rPr>
        <w:footnoteReference w:id="18"/>
      </w:r>
      <w:r w:rsidRPr="4AED2359">
        <w:rPr>
          <w:rFonts w:eastAsia="TT Norms Pro" w:cs="TT Norms Pro"/>
          <w:color w:val="000000" w:themeColor="text1"/>
        </w:rPr>
        <w:t xml:space="preserve"> </w:t>
      </w:r>
    </w:p>
    <w:p w14:paraId="2B97A133" w14:textId="3C3A3FC3" w:rsidR="00D817DB" w:rsidRPr="00A643D8" w:rsidRDefault="00D817DB" w:rsidP="00A643D8">
      <w:pPr>
        <w:rPr>
          <w:rFonts w:eastAsia="TT Norms Pro" w:cs="TT Norms Pro"/>
          <w:color w:val="000000" w:themeColor="text1"/>
        </w:rPr>
      </w:pPr>
      <w:r w:rsidRPr="4AED2359">
        <w:rPr>
          <w:rFonts w:eastAsia="TT Norms Pro" w:cs="TT Norms Pro"/>
          <w:color w:val="000000" w:themeColor="text1"/>
        </w:rPr>
        <w:t>We also support the emphasis on Community Collaboration Plans</w:t>
      </w:r>
      <w:r w:rsidR="00010B9D">
        <w:rPr>
          <w:rFonts w:eastAsia="TT Norms Pro" w:cs="TT Norms Pro"/>
          <w:color w:val="000000" w:themeColor="text1"/>
        </w:rPr>
        <w:t xml:space="preserve">, and putting in place </w:t>
      </w:r>
      <w:r w:rsidR="00C42766">
        <w:rPr>
          <w:rFonts w:eastAsia="TT Norms Pro" w:cs="TT Norms Pro"/>
          <w:color w:val="000000" w:themeColor="text1"/>
        </w:rPr>
        <w:t>changes</w:t>
      </w:r>
      <w:r w:rsidR="00010B9D">
        <w:rPr>
          <w:rFonts w:eastAsia="TT Norms Pro" w:cs="TT Norms Pro"/>
          <w:color w:val="000000" w:themeColor="text1"/>
        </w:rPr>
        <w:t xml:space="preserve"> that help to strengthen engagement between DNOs and </w:t>
      </w:r>
      <w:r w:rsidR="00C42766">
        <w:rPr>
          <w:rFonts w:eastAsia="TT Norms Pro" w:cs="TT Norms Pro"/>
          <w:color w:val="000000" w:themeColor="text1"/>
        </w:rPr>
        <w:t>key local stakeholders</w:t>
      </w:r>
      <w:r w:rsidRPr="4AED2359">
        <w:rPr>
          <w:rFonts w:eastAsia="TT Norms Pro" w:cs="TT Norms Pro"/>
          <w:color w:val="000000" w:themeColor="text1"/>
        </w:rPr>
        <w:t xml:space="preserve">. </w:t>
      </w:r>
      <w:r w:rsidR="008B012F" w:rsidRPr="008B012F">
        <w:rPr>
          <w:rFonts w:eastAsia="TT Norms Pro" w:cs="TT Norms Pro"/>
          <w:color w:val="000000" w:themeColor="text1"/>
        </w:rPr>
        <w:t>However, while we support this in principle, the success of such plans will depend heavily on how they are designed and delivered in practice, particularly the quality and breadth of engagement. Without clear expectations around representation, inclusivity, and how stakeholder input is used, there is a risk that these plans become tokenistic rather than meaningful.</w:t>
      </w:r>
      <w:r w:rsidR="008B012F">
        <w:rPr>
          <w:rFonts w:eastAsia="TT Norms Pro" w:cs="TT Norms Pro"/>
          <w:color w:val="000000" w:themeColor="text1"/>
        </w:rPr>
        <w:t xml:space="preserve"> </w:t>
      </w:r>
      <w:r w:rsidRPr="4AED2359">
        <w:rPr>
          <w:rFonts w:eastAsia="TT Norms Pro" w:cs="TT Norms Pro"/>
          <w:color w:val="000000" w:themeColor="text1"/>
        </w:rPr>
        <w:t>Meaningful engagement with communities, local authorities and DNO’s</w:t>
      </w:r>
      <w:r w:rsidR="007C3CB3">
        <w:rPr>
          <w:rFonts w:eastAsia="TT Norms Pro" w:cs="TT Norms Pro"/>
          <w:color w:val="000000" w:themeColor="text1"/>
        </w:rPr>
        <w:t xml:space="preserve"> could help</w:t>
      </w:r>
      <w:r w:rsidRPr="4AED2359">
        <w:rPr>
          <w:rFonts w:eastAsia="TT Norms Pro" w:cs="TT Norms Pro"/>
          <w:color w:val="000000" w:themeColor="text1"/>
        </w:rPr>
        <w:t xml:space="preserve"> lead to increased innovation</w:t>
      </w:r>
      <w:r w:rsidR="00F86F65">
        <w:rPr>
          <w:rFonts w:eastAsia="TT Norms Pro" w:cs="TT Norms Pro"/>
          <w:color w:val="000000" w:themeColor="text1"/>
        </w:rPr>
        <w:t>, as we have seen in previous projects</w:t>
      </w:r>
      <w:r w:rsidRPr="4AED2359">
        <w:rPr>
          <w:rFonts w:eastAsia="TT Norms Pro" w:cs="TT Norms Pro"/>
          <w:color w:val="000000" w:themeColor="text1"/>
        </w:rPr>
        <w:t xml:space="preserve">. It is important to provide local governments with the necessary technical support, tools and software for the delivery of decarbonisation and retrofit plans. The Flex Direct project provides a reassuring example of stakeholders working together and the indicated system value of such a project. </w:t>
      </w:r>
      <w:r w:rsidR="00A643D8">
        <w:rPr>
          <w:rFonts w:eastAsia="TT Norms Pro" w:cs="TT Norms Pro"/>
          <w:color w:val="000000" w:themeColor="text1"/>
        </w:rPr>
        <w:t>However, w</w:t>
      </w:r>
      <w:r w:rsidRPr="4AED2359">
        <w:rPr>
          <w:rFonts w:eastAsia="TT Norms Pro" w:cs="TT Norms Pro"/>
          <w:color w:val="000000" w:themeColor="text1"/>
        </w:rPr>
        <w:t>hilst the overall project showed substantial benefits, there were still challenges surrounding incentives, data-sharing and administrative burden.</w:t>
      </w:r>
      <w:r w:rsidR="00357A27">
        <w:rPr>
          <w:rStyle w:val="FootnoteReference"/>
          <w:rFonts w:eastAsia="TT Norms Pro" w:cs="TT Norms Pro"/>
          <w:color w:val="000000" w:themeColor="text1"/>
        </w:rPr>
        <w:footnoteReference w:id="19"/>
      </w:r>
      <w:r w:rsidRPr="4AED2359">
        <w:rPr>
          <w:rFonts w:eastAsia="TT Norms Pro" w:cs="TT Norms Pro"/>
          <w:color w:val="000000" w:themeColor="text1"/>
        </w:rPr>
        <w:t xml:space="preserve"> This emphasises the </w:t>
      </w:r>
      <w:r w:rsidRPr="4AED2359">
        <w:rPr>
          <w:rFonts w:eastAsia="TT Norms Pro" w:cs="TT Norms Pro"/>
          <w:color w:val="000000" w:themeColor="text1"/>
        </w:rPr>
        <w:lastRenderedPageBreak/>
        <w:t xml:space="preserve">importance of co-ordinated and transparent data sharing between stakeholders to reduce complexity, and increase trust, especially surrounding consumer protection. </w:t>
      </w:r>
    </w:p>
    <w:p w14:paraId="6EC65A76" w14:textId="77777777" w:rsidR="00F86F65" w:rsidRDefault="00F86F65" w:rsidP="00D817DB">
      <w:pPr>
        <w:tabs>
          <w:tab w:val="left" w:pos="1290"/>
        </w:tabs>
      </w:pPr>
    </w:p>
    <w:p w14:paraId="61EB4975" w14:textId="77777777" w:rsidR="001C78C1" w:rsidRDefault="001C78C1" w:rsidP="001C78C1">
      <w:pPr>
        <w:rPr>
          <w:b/>
          <w:bCs/>
        </w:rPr>
      </w:pPr>
      <w:r w:rsidRPr="32BEDF36">
        <w:rPr>
          <w:b/>
          <w:bCs/>
        </w:rPr>
        <w:t>Q3. What are your views of the effectiveness of the existing Collaboration Plan requirements? Do you think the enhanced Community Collaboration Plans we have described would be helpful to stakeholders and, if so, how best should they be monitored?</w:t>
      </w:r>
    </w:p>
    <w:p w14:paraId="1433E281" w14:textId="7E63C235" w:rsidR="001217DC" w:rsidRDefault="001C78C1" w:rsidP="001C78C1">
      <w:r w:rsidRPr="001C78C1">
        <w:t xml:space="preserve">We </w:t>
      </w:r>
      <w:r>
        <w:t>believe that upgrading from the current Collaboration Plan to a Community Collaboration Plan is a good idea. The previous plan requirements seemed to encourage DNOs to undertake stakeholder engagement activities, but the implications of this appears to make minimal impact and is inconsistent. Ofgem’s 2022-23 panel report suggests that DNOs lack clear evidence demonstrating impact, lack collaboration and provide vague descriptions when it comes to stakeholder engagement.</w:t>
      </w:r>
      <w:r w:rsidRPr="32BEDF36">
        <w:rPr>
          <w:rStyle w:val="FootnoteReference"/>
        </w:rPr>
        <w:footnoteReference w:id="20"/>
      </w:r>
      <w:r>
        <w:t xml:space="preserve"> Ideally, the Community Plan would enforce DNOs to take a more proactive approach in aligning network investment with local and regional decarbonisation plans. We agree that adding in scope for DNOs to prove who their key stakeholders are </w:t>
      </w:r>
      <w:r w:rsidR="001217DC">
        <w:t>could</w:t>
      </w:r>
      <w:r w:rsidR="005B6180">
        <w:t xml:space="preserve"> help</w:t>
      </w:r>
      <w:r>
        <w:t xml:space="preserve"> improve the quality of DNO engagement, reinforcing outcome-driven results.</w:t>
      </w:r>
    </w:p>
    <w:p w14:paraId="1A6DF56F" w14:textId="307540E9" w:rsidR="001C78C1" w:rsidRDefault="001C78C1" w:rsidP="001C78C1">
      <w:r>
        <w:t xml:space="preserve">As included in the consultation, we also think that DNOs should provide technical support or advice to local authorities to support area-based decarbonisation programmes. </w:t>
      </w:r>
      <w:r w:rsidR="001217DC">
        <w:t xml:space="preserve">We think that </w:t>
      </w:r>
      <w:r w:rsidR="7155FC05">
        <w:t>l</w:t>
      </w:r>
      <w:r>
        <w:t xml:space="preserve">ocal </w:t>
      </w:r>
      <w:r w:rsidR="773C27FE">
        <w:t>a</w:t>
      </w:r>
      <w:r>
        <w:t xml:space="preserve">uthorities </w:t>
      </w:r>
      <w:r w:rsidR="001217DC">
        <w:t>would benefit from</w:t>
      </w:r>
      <w:r>
        <w:t xml:space="preserve"> gain</w:t>
      </w:r>
      <w:r w:rsidR="001217DC">
        <w:t>ing</w:t>
      </w:r>
      <w:r>
        <w:t xml:space="preserve"> a better understanding of the network in their area</w:t>
      </w:r>
      <w:r w:rsidR="005B6180">
        <w:t>.</w:t>
      </w:r>
    </w:p>
    <w:p w14:paraId="076D5455" w14:textId="6C0F5B2D" w:rsidR="001C78C1" w:rsidRDefault="001C78C1" w:rsidP="001C78C1">
      <w:pPr>
        <w:rPr>
          <w:rStyle w:val="FootnoteReference"/>
        </w:rPr>
      </w:pPr>
      <w:r>
        <w:t>Research supports the need for more structured and meaningful engagement with stakeholders. For example, a Swed</w:t>
      </w:r>
      <w:r w:rsidR="2F302EC4">
        <w:t>ish</w:t>
      </w:r>
      <w:r>
        <w:t xml:space="preserve"> </w:t>
      </w:r>
      <w:r w:rsidR="26CC999F">
        <w:t>s</w:t>
      </w:r>
      <w:r>
        <w:t>tudy on stakeholder participation in local energy planning found that limited stakeholder engagement reduces the effectiveness of local energy strategies, including the late inclusion of key stakeholders in the planning process.</w:t>
      </w:r>
      <w:r w:rsidRPr="32BEDF36">
        <w:rPr>
          <w:rStyle w:val="FootnoteReference"/>
        </w:rPr>
        <w:footnoteReference w:id="21"/>
      </w:r>
      <w:r>
        <w:t xml:space="preserve"> Furthermore, </w:t>
      </w:r>
      <w:r w:rsidR="005B6180">
        <w:t xml:space="preserve">we </w:t>
      </w:r>
      <w:r w:rsidR="00CE28D8">
        <w:t xml:space="preserve">think that </w:t>
      </w:r>
      <w:r>
        <w:t>normalising public engagement in infrastructure planning as a process, rather than a way to reduce opposition would increase social acceptance of energy transitions, providing a more collaborative and holistic engagement strategy.</w:t>
      </w:r>
      <w:r w:rsidRPr="32BEDF36">
        <w:rPr>
          <w:rStyle w:val="FootnoteReference"/>
        </w:rPr>
        <w:footnoteReference w:id="22"/>
      </w:r>
      <w:r w:rsidRPr="4AED2359">
        <w:rPr>
          <w:rStyle w:val="FootnoteReference"/>
        </w:rPr>
        <w:t xml:space="preserve">  </w:t>
      </w:r>
    </w:p>
    <w:p w14:paraId="0848EC6A" w14:textId="77777777" w:rsidR="001C78C1" w:rsidRDefault="001C78C1" w:rsidP="001C78C1">
      <w:r>
        <w:t xml:space="preserve">There is also evidence that effective collaboration can unlock tangible system benefits. As shown in the consultation, The UK Power Networks’ Flex Direct project demonstrated that improved co-ordination between DNOs, local authorities and social housing providers could deliver a system value of £315 million across Great Britain in the next 10 years. </w:t>
      </w:r>
      <w:r w:rsidRPr="4AED2359">
        <w:rPr>
          <w:rStyle w:val="FootnoteReference"/>
        </w:rPr>
        <w:footnoteReference w:id="23"/>
      </w:r>
      <w:r>
        <w:t xml:space="preserve"> This highlights the importance of building structured, ongoing relationships to drive engagement. We therefore support the proposal to introduce enhanced Community Collaboration Plans. </w:t>
      </w:r>
    </w:p>
    <w:p w14:paraId="49F53DD6" w14:textId="39E839D1" w:rsidR="00CE28D8" w:rsidRDefault="001C78C1" w:rsidP="001C78C1">
      <w:r>
        <w:t xml:space="preserve">Overall, we consider that enhanced Community Collaboration Plans would be helpful to stakeholders, provided that DNOs follow the framework effectively and with strict </w:t>
      </w:r>
      <w:r>
        <w:lastRenderedPageBreak/>
        <w:t xml:space="preserve">implementation. </w:t>
      </w:r>
      <w:r w:rsidR="0047696B">
        <w:t>However, a</w:t>
      </w:r>
      <w:r w:rsidR="0047696B" w:rsidRPr="0047696B">
        <w:t xml:space="preserve"> “Community Collaboration Plan” risks being ineffective if the concept of “community” is not clearly defined and genuinely representative. The term itself can be ambiguous and, if not handled carefully, may result in engagement that is more performative than meaningful, relying on a narrow group of familiar or well-resourced stakeholders rather than reflecting the full diversity of those affected. To avoid this, the design and delivery of the plan are critical: it should set out clearly how stakeholders are identified, how underrepresented groups are included, and how input is incorporated into decision-making. Without this clarity, there is a risk that the process lacks legitimacy, limits buy-in, and fails to capture a broad range of perspectives.</w:t>
      </w:r>
    </w:p>
    <w:p w14:paraId="43A572F9" w14:textId="77777777" w:rsidR="0013353D" w:rsidRDefault="0013353D" w:rsidP="001C78C1"/>
    <w:p w14:paraId="59760276" w14:textId="77777777" w:rsidR="0013353D" w:rsidRPr="0076207A" w:rsidRDefault="0013353D" w:rsidP="0013353D">
      <w:pPr>
        <w:rPr>
          <w:b/>
          <w:bCs/>
        </w:rPr>
      </w:pPr>
      <w:r w:rsidRPr="777F9475">
        <w:rPr>
          <w:b/>
          <w:bCs/>
        </w:rPr>
        <w:t xml:space="preserve">Q4. How useful is the data currently published by DNOs, and is it presented adequately? </w:t>
      </w:r>
    </w:p>
    <w:p w14:paraId="53EA2DEE" w14:textId="2429CBAE" w:rsidR="000B1E3F" w:rsidRDefault="0013353D" w:rsidP="0013353D">
      <w:r>
        <w:t xml:space="preserve">As previously mentioned, the current data published by DNOs </w:t>
      </w:r>
      <w:r w:rsidR="00005D46">
        <w:t xml:space="preserve">can be challenging for key </w:t>
      </w:r>
      <w:r>
        <w:t>stakeholders</w:t>
      </w:r>
      <w:r w:rsidR="006734DA">
        <w:t>, in particular local authorities.</w:t>
      </w:r>
      <w:r w:rsidR="52AC0CF3">
        <w:t>...</w:t>
      </w:r>
      <w:r>
        <w:t>. Local authorities rarely have the capacity or expertise to engage with DNOs,</w:t>
      </w:r>
      <w:r w:rsidRPr="777F9475">
        <w:rPr>
          <w:rStyle w:val="FootnoteReference"/>
        </w:rPr>
        <w:footnoteReference w:id="24"/>
      </w:r>
      <w:r>
        <w:t xml:space="preserve"> </w:t>
      </w:r>
      <w:r w:rsidR="003F54D7">
        <w:t xml:space="preserve">reinforcing the </w:t>
      </w:r>
      <w:r w:rsidR="00E62E29">
        <w:t>need for more</w:t>
      </w:r>
      <w:r>
        <w:t xml:space="preserve"> understandable and accessible </w:t>
      </w:r>
      <w:r w:rsidR="00E62E29">
        <w:t>engagement and data sharing</w:t>
      </w:r>
      <w:r>
        <w:t xml:space="preserve">. </w:t>
      </w:r>
    </w:p>
    <w:p w14:paraId="13F8FA4E" w14:textId="51D07743" w:rsidR="00F86F65" w:rsidRDefault="0013353D" w:rsidP="00D817DB">
      <w:pPr>
        <w:tabs>
          <w:tab w:val="left" w:pos="1290"/>
        </w:tabs>
      </w:pPr>
      <w:r>
        <w:t xml:space="preserve">Greater London Authority and London Councils suggest that DNOs provide data for area-based retrofit plans on informing decisions about transformer and feeder upgrades, </w:t>
      </w:r>
      <w:r w:rsidR="50DBBC71">
        <w:t>as well as</w:t>
      </w:r>
      <w:r>
        <w:t xml:space="preserve"> </w:t>
      </w:r>
      <w:r w:rsidR="0095700C">
        <w:t>helping to target investment in energy efficiency measures to reduce the need for costly network reinforcement</w:t>
      </w:r>
      <w:r>
        <w:t>.</w:t>
      </w:r>
      <w:r w:rsidR="000B1E3F">
        <w:rPr>
          <w:rStyle w:val="FootnoteReference"/>
        </w:rPr>
        <w:footnoteReference w:id="25"/>
      </w:r>
      <w:r>
        <w:t xml:space="preserve"> </w:t>
      </w:r>
      <w:r w:rsidR="00D85CD6" w:rsidRPr="00D85CD6">
        <w:t>They highlight that closer collaboration with DNOs could deliver benefits at a neighbourhood scale, including more effective support for low-income households.</w:t>
      </w:r>
    </w:p>
    <w:p w14:paraId="341E5CF4" w14:textId="77777777" w:rsidR="0076074D" w:rsidRDefault="0076074D" w:rsidP="0076074D">
      <w:pPr>
        <w:rPr>
          <w:b/>
          <w:bCs/>
        </w:rPr>
      </w:pPr>
      <w:r w:rsidRPr="0076207A">
        <w:rPr>
          <w:b/>
          <w:bCs/>
        </w:rPr>
        <w:t>Q5. What are your views on strengthening the System Visualisation Interface requirement, and would it be valuable for DNOs to collate and publish additional non</w:t>
      </w:r>
      <w:r w:rsidRPr="0076207A">
        <w:rPr>
          <w:b/>
          <w:bCs/>
        </w:rPr>
        <w:noBreakHyphen/>
        <w:t>network datasets, if so, which datasets would be most beneficial?</w:t>
      </w:r>
    </w:p>
    <w:p w14:paraId="48E4DD23" w14:textId="4743482F" w:rsidR="0076074D" w:rsidRDefault="0076074D" w:rsidP="0076074D">
      <w:r w:rsidRPr="00E36E20">
        <w:t xml:space="preserve">We </w:t>
      </w:r>
      <w:r w:rsidR="005031B2">
        <w:t>strongly support</w:t>
      </w:r>
      <w:r w:rsidRPr="00E36E20">
        <w:t xml:space="preserve"> the proposal of an enhanced “System Visualisation Interface”. We </w:t>
      </w:r>
      <w:r w:rsidR="00BC3A6C">
        <w:t xml:space="preserve">agree that </w:t>
      </w:r>
      <w:r w:rsidRPr="00E36E20">
        <w:t xml:space="preserve">this </w:t>
      </w:r>
      <w:r w:rsidR="006239B3">
        <w:t xml:space="preserve">could </w:t>
      </w:r>
      <w:r w:rsidR="00BC3A6C">
        <w:t xml:space="preserve">help to facilitate </w:t>
      </w:r>
      <w:r w:rsidR="0DED2687">
        <w:t>l</w:t>
      </w:r>
      <w:r w:rsidR="00BC3A6C">
        <w:t xml:space="preserve">ocal </w:t>
      </w:r>
      <w:r w:rsidR="148D2B25">
        <w:t>a</w:t>
      </w:r>
      <w:r w:rsidR="00BC3A6C">
        <w:t>uthorities to have</w:t>
      </w:r>
      <w:r>
        <w:t xml:space="preserve"> a more place-based approach to retrofit delivery. The way in which we believe this will be the most powerful is by overlaying non-DNO data as well. </w:t>
      </w:r>
      <w:r w:rsidRPr="00645BED">
        <w:t xml:space="preserve">A GIS-style interface that overlays these layers would allow local authorities to identify </w:t>
      </w:r>
      <w:r w:rsidRPr="00645BED">
        <w:rPr>
          <w:b/>
          <w:bCs/>
        </w:rPr>
        <w:t>“</w:t>
      </w:r>
      <w:r w:rsidRPr="00645BED">
        <w:t>retrofit opportunity zones</w:t>
      </w:r>
      <w:r w:rsidRPr="00645BED">
        <w:rPr>
          <w:b/>
          <w:bCs/>
        </w:rPr>
        <w:t>”</w:t>
      </w:r>
      <w:r w:rsidRPr="00645BED">
        <w:t xml:space="preserve"> rather than trying to recruit households one-by-one. For councils administering programmes like the Warm Homes</w:t>
      </w:r>
      <w:r w:rsidR="002606FE">
        <w:t xml:space="preserve">: </w:t>
      </w:r>
      <w:r w:rsidRPr="00645BED">
        <w:t>Local Grant, this kind of visual tool could turn fragmented datasets into a practical planning instrument for prioritising neighbourhoods where retrofit could deliver the greatest social and system benefits</w:t>
      </w:r>
      <w:r>
        <w:t>, and pair</w:t>
      </w:r>
      <w:r w:rsidR="00003A62">
        <w:t>.</w:t>
      </w:r>
      <w:r w:rsidR="00457871">
        <w:t xml:space="preserve"> Below we have listed data that we think would be useful to include, however, there needs to be a balance between producing a useful and informative interface and ensuring simplicity and ease of data collection. </w:t>
      </w:r>
    </w:p>
    <w:p w14:paraId="0F045079" w14:textId="387F6602" w:rsidR="0076074D" w:rsidRPr="00171E98" w:rsidRDefault="0076074D" w:rsidP="0076074D">
      <w:pPr>
        <w:rPr>
          <w:b/>
          <w:bCs/>
        </w:rPr>
      </w:pPr>
      <w:r w:rsidRPr="00171E98">
        <w:rPr>
          <w:b/>
          <w:bCs/>
        </w:rPr>
        <w:t>Data we think would be valuable</w:t>
      </w:r>
      <w:r w:rsidR="006239B3" w:rsidRPr="00171E98">
        <w:rPr>
          <w:b/>
          <w:bCs/>
        </w:rPr>
        <w:t xml:space="preserve"> to include in the interface</w:t>
      </w:r>
      <w:r w:rsidRPr="00171E98">
        <w:rPr>
          <w:b/>
          <w:bCs/>
        </w:rPr>
        <w:t xml:space="preserve">: </w:t>
      </w:r>
    </w:p>
    <w:p w14:paraId="07A84580" w14:textId="6030CFFB" w:rsidR="0076074D" w:rsidRPr="00171E98" w:rsidRDefault="0076074D" w:rsidP="000064ED">
      <w:pPr>
        <w:pStyle w:val="ListParagraph"/>
        <w:numPr>
          <w:ilvl w:val="0"/>
          <w:numId w:val="3"/>
        </w:numPr>
      </w:pPr>
      <w:r w:rsidRPr="006239B3">
        <w:lastRenderedPageBreak/>
        <w:t>Electricity network capacity and constraint data (DNO data)</w:t>
      </w:r>
      <w:r w:rsidR="00171E98">
        <w:t xml:space="preserve"> - H</w:t>
      </w:r>
      <w:r w:rsidRPr="006637A5">
        <w:t>elps identify areas where electrification (e.g. heat pumps) could place pressure on the local network, or where spare capacity exists and electrification could be accelerated.</w:t>
      </w:r>
      <w:r w:rsidR="00171E98">
        <w:t xml:space="preserve"> </w:t>
      </w:r>
      <w:r w:rsidRPr="006637A5">
        <w:t>Presentation could be a simple colour-coded overlay (e.g. green = spare capacity, amber = limited capacity, red = potential future constraint) based on substation or feeder areas.</w:t>
      </w:r>
    </w:p>
    <w:p w14:paraId="4C88BB7D" w14:textId="77777777" w:rsidR="0023048B" w:rsidRDefault="0076074D" w:rsidP="000064ED">
      <w:pPr>
        <w:pStyle w:val="ListParagraph"/>
        <w:numPr>
          <w:ilvl w:val="0"/>
          <w:numId w:val="4"/>
        </w:numPr>
      </w:pPr>
      <w:r w:rsidRPr="00171E98">
        <w:t>EPC (Energy Performance Certificate) data</w:t>
      </w:r>
      <w:r w:rsidR="00171E98">
        <w:t xml:space="preserve"> - I</w:t>
      </w:r>
      <w:r w:rsidRPr="006637A5">
        <w:t>dentifies where homes are inefficient, which homes rely on electric heating, and where retrofit measures would have the greatest impact.</w:t>
      </w:r>
      <w:r w:rsidR="00171E98">
        <w:t xml:space="preserve"> </w:t>
      </w:r>
      <w:r w:rsidRPr="006637A5">
        <w:t>Presentation could include heatmaps of EPC ratings or layers showing clusters of low-efficiency homes (e.g. EPC D-G).</w:t>
      </w:r>
    </w:p>
    <w:p w14:paraId="78970766" w14:textId="77777777" w:rsidR="0023048B" w:rsidRDefault="0076074D" w:rsidP="000064ED">
      <w:pPr>
        <w:pStyle w:val="ListParagraph"/>
        <w:numPr>
          <w:ilvl w:val="0"/>
          <w:numId w:val="4"/>
        </w:numPr>
      </w:pPr>
      <w:r w:rsidRPr="0023048B">
        <w:t>Fuel poverty statistics</w:t>
      </w:r>
      <w:r w:rsidR="0023048B">
        <w:t xml:space="preserve"> - Helps</w:t>
      </w:r>
      <w:r w:rsidRPr="006637A5">
        <w:t xml:space="preserve"> ensure that retrofit programmes prioritise areas where households are most likely to struggle with energy costs and therefore benefit most from interventions.</w:t>
      </w:r>
      <w:r w:rsidR="0023048B">
        <w:t xml:space="preserve"> </w:t>
      </w:r>
      <w:r w:rsidRPr="006637A5">
        <w:t>Presentation could show the proportion of households in fuel poverty by LSOA using a gradient heatmap.</w:t>
      </w:r>
    </w:p>
    <w:p w14:paraId="4EB9FD1B" w14:textId="77777777" w:rsidR="00797825" w:rsidRDefault="0076074D" w:rsidP="000064ED">
      <w:pPr>
        <w:pStyle w:val="ListParagraph"/>
        <w:numPr>
          <w:ilvl w:val="0"/>
          <w:numId w:val="4"/>
        </w:numPr>
      </w:pPr>
      <w:r w:rsidRPr="0023048B">
        <w:t>Housing stock characteristics</w:t>
      </w:r>
      <w:r w:rsidR="0023048B">
        <w:t xml:space="preserve"> - Housing</w:t>
      </w:r>
      <w:r w:rsidRPr="006637A5">
        <w:t xml:space="preserve"> type and age </w:t>
      </w:r>
      <w:r w:rsidR="0023048B">
        <w:t xml:space="preserve">can </w:t>
      </w:r>
      <w:r w:rsidRPr="006637A5">
        <w:t>determine what retrofit measures are feasible (e.g. solid wall insulation in Victorian terraces, loft insulation in post-war housing).</w:t>
      </w:r>
      <w:r w:rsidR="0023048B">
        <w:t xml:space="preserve"> </w:t>
      </w:r>
      <w:r w:rsidRPr="006637A5">
        <w:t>Presentation could classify neighbourhoods by housing archetype (e.g. terraced, semi-detached, flats, pre-1919 housing).</w:t>
      </w:r>
    </w:p>
    <w:p w14:paraId="43784B0D" w14:textId="77777777" w:rsidR="00797825" w:rsidRDefault="0076074D" w:rsidP="000064ED">
      <w:pPr>
        <w:pStyle w:val="ListParagraph"/>
        <w:numPr>
          <w:ilvl w:val="0"/>
          <w:numId w:val="4"/>
        </w:numPr>
      </w:pPr>
      <w:r w:rsidRPr="00797825">
        <w:t>Existing low-carbon technology deployment (e.g. MCS installations)</w:t>
      </w:r>
      <w:r w:rsidR="00797825">
        <w:t xml:space="preserve"> - H</w:t>
      </w:r>
      <w:r w:rsidRPr="006637A5">
        <w:t>ighlights areas where technologies such as heat pumps or solar PV are already common, indicating where supply chains, installer presence, and social acceptance may already exist.</w:t>
      </w:r>
      <w:r w:rsidR="00797825">
        <w:t xml:space="preserve"> </w:t>
      </w:r>
      <w:r w:rsidRPr="006637A5">
        <w:t>Presentation could include point data or density maps showing installations per 1,000 households.</w:t>
      </w:r>
    </w:p>
    <w:p w14:paraId="233BBE29" w14:textId="05A352D0" w:rsidR="0076074D" w:rsidRDefault="0076074D" w:rsidP="000064ED">
      <w:pPr>
        <w:pStyle w:val="ListParagraph"/>
        <w:numPr>
          <w:ilvl w:val="0"/>
          <w:numId w:val="4"/>
        </w:numPr>
      </w:pPr>
      <w:r w:rsidRPr="00797825">
        <w:t>Smart meter coverage</w:t>
      </w:r>
      <w:r w:rsidR="00797825">
        <w:t xml:space="preserve"> - P</w:t>
      </w:r>
      <w:r w:rsidRPr="006637A5">
        <w:t>articipation in demand-side flexibility programmes often depends on smart meter infrastructure.</w:t>
      </w:r>
      <w:r w:rsidR="00797825">
        <w:t xml:space="preserve"> </w:t>
      </w:r>
      <w:r w:rsidRPr="006637A5">
        <w:t>Presentation could show the percentage of households with smart meters by area.</w:t>
      </w:r>
    </w:p>
    <w:p w14:paraId="0043DF89" w14:textId="77777777" w:rsidR="009A03A4" w:rsidRDefault="0076074D" w:rsidP="000064ED">
      <w:pPr>
        <w:pStyle w:val="ListParagraph"/>
        <w:numPr>
          <w:ilvl w:val="0"/>
          <w:numId w:val="4"/>
        </w:numPr>
      </w:pPr>
      <w:r w:rsidRPr="00003A62">
        <w:t>Heat demand / National Heat Map data</w:t>
      </w:r>
      <w:r w:rsidR="00003A62">
        <w:rPr>
          <w:b/>
          <w:bCs/>
        </w:rPr>
        <w:t xml:space="preserve"> - </w:t>
      </w:r>
      <w:r w:rsidRPr="006637A5">
        <w:t>Useful because it indicates where buildings have the highest heat demand and therefore where retrofit measures could deliver the largest reductions in energy consumption and emissions.</w:t>
      </w:r>
      <w:r w:rsidR="009A03A4">
        <w:t xml:space="preserve"> </w:t>
      </w:r>
      <w:r w:rsidRPr="006637A5">
        <w:t>Presentation could be a heat demand intensity layer (e.g. kWh/m²) across neighbourhoods.</w:t>
      </w:r>
    </w:p>
    <w:p w14:paraId="791A1F27" w14:textId="530DFE1A" w:rsidR="0076074D" w:rsidRDefault="0076074D" w:rsidP="000064ED">
      <w:pPr>
        <w:pStyle w:val="ListParagraph"/>
        <w:numPr>
          <w:ilvl w:val="0"/>
          <w:numId w:val="4"/>
        </w:numPr>
      </w:pPr>
      <w:r w:rsidRPr="009A03A4">
        <w:t>Index of Multiple Deprivation (IMD)</w:t>
      </w:r>
      <w:r w:rsidR="009A03A4">
        <w:t xml:space="preserve"> - Provides</w:t>
      </w:r>
      <w:r w:rsidRPr="006637A5">
        <w:t xml:space="preserve"> a broader indicator of socio-economic vulnerability, helping ensure programmes reach disadvantaged communities.</w:t>
      </w:r>
      <w:r w:rsidR="008A2056">
        <w:t xml:space="preserve"> </w:t>
      </w:r>
      <w:r w:rsidRPr="006637A5">
        <w:t>Presentation could be a deprivation ranking layer by LSOA.</w:t>
      </w:r>
    </w:p>
    <w:p w14:paraId="3B0B3014" w14:textId="77777777" w:rsidR="00C11E92" w:rsidRDefault="0076074D" w:rsidP="000064ED">
      <w:pPr>
        <w:pStyle w:val="ListParagraph"/>
        <w:numPr>
          <w:ilvl w:val="0"/>
          <w:numId w:val="4"/>
        </w:numPr>
      </w:pPr>
      <w:r w:rsidRPr="008A2056">
        <w:t>Existing retrofit scheme activity</w:t>
      </w:r>
      <w:r w:rsidR="008A2056" w:rsidRPr="008A2056">
        <w:t xml:space="preserve"> -</w:t>
      </w:r>
      <w:r w:rsidR="008A2056">
        <w:rPr>
          <w:b/>
          <w:bCs/>
        </w:rPr>
        <w:t xml:space="preserve"> </w:t>
      </w:r>
      <w:r w:rsidR="008A2056">
        <w:t>S</w:t>
      </w:r>
      <w:r w:rsidRPr="006637A5">
        <w:t>hows where programmes such as ECO, HUG, or LAD have already delivered measures, helping avoid duplication and identify areas that have been underserved.</w:t>
      </w:r>
      <w:r w:rsidR="008A2056">
        <w:t xml:space="preserve"> </w:t>
      </w:r>
      <w:r w:rsidRPr="006637A5">
        <w:t>Presentation could include layers showing retrofit activity density or scheme participation.</w:t>
      </w:r>
    </w:p>
    <w:p w14:paraId="4F150DCA" w14:textId="7A48874B" w:rsidR="0076074D" w:rsidRPr="006637A5" w:rsidRDefault="0076074D" w:rsidP="000064ED">
      <w:pPr>
        <w:pStyle w:val="ListParagraph"/>
        <w:numPr>
          <w:ilvl w:val="0"/>
          <w:numId w:val="4"/>
        </w:numPr>
      </w:pPr>
      <w:r w:rsidRPr="00C11E92">
        <w:t>Advice and support demand (if available)</w:t>
      </w:r>
      <w:r w:rsidR="00C11E92">
        <w:t xml:space="preserve"> - D</w:t>
      </w:r>
      <w:r w:rsidRPr="006637A5">
        <w:t>ata from organisations such as Citizens Advice or energy advice services could highlight where households are actively seeking help with energy issues.</w:t>
      </w:r>
      <w:r w:rsidR="00C11E92">
        <w:t xml:space="preserve"> However, this would depend on their </w:t>
      </w:r>
      <w:r w:rsidR="00095CDF">
        <w:t xml:space="preserve">data sharing policies and whether it’s possible under GDPR compliance. </w:t>
      </w:r>
      <w:r w:rsidRPr="006637A5">
        <w:t>Presentation could be a density map of advice requests or support cases, if such data were available.</w:t>
      </w:r>
    </w:p>
    <w:p w14:paraId="75BEE21C" w14:textId="77777777" w:rsidR="0076074D" w:rsidRPr="006637A5" w:rsidRDefault="0076074D" w:rsidP="0076074D">
      <w:pPr>
        <w:rPr>
          <w:b/>
          <w:bCs/>
        </w:rPr>
      </w:pPr>
      <w:r w:rsidRPr="006637A5">
        <w:rPr>
          <w:b/>
          <w:bCs/>
        </w:rPr>
        <w:t>The overall concept</w:t>
      </w:r>
    </w:p>
    <w:p w14:paraId="36F5434F" w14:textId="77777777" w:rsidR="0076074D" w:rsidRPr="006637A5" w:rsidRDefault="0076074D" w:rsidP="0076074D">
      <w:r w:rsidRPr="006637A5">
        <w:t>A GIS-based “System Visualisation Interface” could allow users to toggle layers and identify areas where multiple factors overlap, for example:</w:t>
      </w:r>
    </w:p>
    <w:p w14:paraId="7A240058" w14:textId="77777777" w:rsidR="0076074D" w:rsidRPr="006637A5" w:rsidRDefault="0076074D" w:rsidP="0076074D">
      <w:r w:rsidRPr="006637A5">
        <w:lastRenderedPageBreak/>
        <w:t>• high fuel poverty</w:t>
      </w:r>
      <w:r w:rsidRPr="006637A5">
        <w:br/>
        <w:t>• low EPC ratings</w:t>
      </w:r>
      <w:r w:rsidRPr="006637A5">
        <w:br/>
        <w:t>• suitable housing archetypes</w:t>
      </w:r>
      <w:r w:rsidRPr="006637A5">
        <w:br/>
        <w:t>• available network capacity.</w:t>
      </w:r>
    </w:p>
    <w:p w14:paraId="522E1738" w14:textId="77777777" w:rsidR="0076074D" w:rsidRPr="006637A5" w:rsidRDefault="0076074D" w:rsidP="0076074D">
      <w:r w:rsidRPr="006637A5">
        <w:t>These areas could then be prioritised for place-based retrofit delivery, helping local authorities use funding such as the Warm Homes Local Grant more strategically.</w:t>
      </w:r>
    </w:p>
    <w:p w14:paraId="2BF58963" w14:textId="77777777" w:rsidR="004560D8" w:rsidRDefault="004560D8" w:rsidP="00D817DB">
      <w:pPr>
        <w:tabs>
          <w:tab w:val="left" w:pos="1290"/>
        </w:tabs>
      </w:pPr>
    </w:p>
    <w:p w14:paraId="57C789D3" w14:textId="3754FF34" w:rsidR="008120C6" w:rsidRPr="008120C6" w:rsidRDefault="008120C6" w:rsidP="008120C6">
      <w:pPr>
        <w:rPr>
          <w:b/>
          <w:bCs/>
        </w:rPr>
      </w:pPr>
      <w:r w:rsidRPr="00B6071A">
        <w:rPr>
          <w:b/>
          <w:bCs/>
        </w:rPr>
        <w:t xml:space="preserve">Q6. What are your views on the Working with Local Authorities and others proposals we have set out above? What if any, would be the key elements of this? Are you aware of particular entities who would benefit from such advice? </w:t>
      </w:r>
    </w:p>
    <w:p w14:paraId="1CFF5399" w14:textId="2F4E5C46" w:rsidR="008120C6" w:rsidRDefault="008120C6" w:rsidP="008120C6">
      <w:r>
        <w:t xml:space="preserve">Local </w:t>
      </w:r>
      <w:r w:rsidR="21368C57">
        <w:t>a</w:t>
      </w:r>
      <w:r>
        <w:t>uthorities are critical to the rollout of retrofit programmes</w:t>
      </w:r>
      <w:r w:rsidR="00765DCF">
        <w:t xml:space="preserve"> aimed at social housing and lower income groups</w:t>
      </w:r>
      <w:r>
        <w:t xml:space="preserve">, as they tend to deliver government grants, such as Warm Homes: Local Grant. </w:t>
      </w:r>
      <w:r w:rsidR="0045295B">
        <w:t xml:space="preserve">As stated above, we think that a simple, easy to use interface which allows </w:t>
      </w:r>
      <w:r w:rsidR="5D494B0A">
        <w:t>l</w:t>
      </w:r>
      <w:r w:rsidR="00F047A9">
        <w:t xml:space="preserve">ocal </w:t>
      </w:r>
      <w:r w:rsidR="07AF5D7B">
        <w:t>a</w:t>
      </w:r>
      <w:r w:rsidR="00F047A9">
        <w:t xml:space="preserve">uthorities to </w:t>
      </w:r>
      <w:r w:rsidR="0096073B">
        <w:t>prioritise</w:t>
      </w:r>
      <w:r w:rsidR="00F047A9">
        <w:t xml:space="preserve"> areas for </w:t>
      </w:r>
      <w:r w:rsidR="00FA3F9A">
        <w:t xml:space="preserve">retrofit would be a useful tool. </w:t>
      </w:r>
    </w:p>
    <w:p w14:paraId="75A19E10" w14:textId="1FBB7B6D" w:rsidR="007B5D1B" w:rsidRDefault="008120C6" w:rsidP="008120C6">
      <w:r>
        <w:t xml:space="preserve">The London retrofit delivery project developed by the Greater London Authority and London Councils provides a clear example of a coordinated, place-based retrofit. The project identified a fragmented delivery landscape, with limited pipeline visibility, uncoordinated procurement and inefficiencies arising from competitive funding processes. </w:t>
      </w:r>
      <w:r w:rsidRPr="4AED2359">
        <w:rPr>
          <w:rStyle w:val="FootnoteReference"/>
        </w:rPr>
        <w:footnoteReference w:id="26"/>
      </w:r>
      <w:r w:rsidRPr="4AED2359">
        <w:rPr>
          <w:rStyle w:val="FootnoteReference"/>
        </w:rPr>
        <w:t xml:space="preserve"> </w:t>
      </w:r>
      <w:r>
        <w:t xml:space="preserve"> Therefore, they produced a retrofit model that coordinates pipeline development, data sharing and supply chains across boroughs and housing associations.  It recognises that local authorities should lead the delivery and highlights DNOs role as potential action blockers or enablers. </w:t>
      </w:r>
      <w:r w:rsidR="00204752">
        <w:t xml:space="preserve">We think that DNOs taking on this “Enhanced Co-ordination” role would help to ensure that DNOs are enablers and not blockers of retrofit projects. </w:t>
      </w:r>
    </w:p>
    <w:p w14:paraId="02DC6557" w14:textId="77777777" w:rsidR="00B93FD4" w:rsidRDefault="00B93FD4" w:rsidP="00B93FD4">
      <w:pPr>
        <w:rPr>
          <w:b/>
          <w:bCs/>
        </w:rPr>
      </w:pPr>
      <w:r w:rsidRPr="00B6071A">
        <w:rPr>
          <w:b/>
          <w:bCs/>
        </w:rPr>
        <w:t xml:space="preserve">Q7. How could </w:t>
      </w:r>
      <w:proofErr w:type="spellStart"/>
      <w:r w:rsidRPr="00B6071A">
        <w:rPr>
          <w:b/>
          <w:bCs/>
        </w:rPr>
        <w:t>iDNOs</w:t>
      </w:r>
      <w:proofErr w:type="spellEnd"/>
      <w:r w:rsidRPr="00B6071A">
        <w:rPr>
          <w:b/>
          <w:bCs/>
        </w:rPr>
        <w:t xml:space="preserve"> support the proposals in this portion of the consultation? How could either private wire connected properties or license-exempt networks feature in these proposals? </w:t>
      </w:r>
    </w:p>
    <w:p w14:paraId="0BD58CB3" w14:textId="42A5C291" w:rsidR="00B93FD4" w:rsidRPr="00B93FD4" w:rsidRDefault="00AA4F76" w:rsidP="00B93FD4">
      <w:proofErr w:type="spellStart"/>
      <w:r>
        <w:t>iDNOs</w:t>
      </w:r>
      <w:proofErr w:type="spellEnd"/>
      <w:r>
        <w:t xml:space="preserve"> have pools of data on LCT installation</w:t>
      </w:r>
      <w:r w:rsidR="004F211F">
        <w:t>s</w:t>
      </w:r>
      <w:r>
        <w:t>, that we hear anecdotally are not very visible</w:t>
      </w:r>
      <w:r w:rsidR="004F211F">
        <w:t xml:space="preserve">. </w:t>
      </w:r>
      <w:r w:rsidR="000554CB">
        <w:t>We</w:t>
      </w:r>
      <w:r w:rsidR="0076323A">
        <w:t xml:space="preserve">, therefore, </w:t>
      </w:r>
      <w:r w:rsidR="000554CB">
        <w:t>think it’s important that these stakeholders also commit to better data sharing</w:t>
      </w:r>
      <w:r w:rsidR="0076323A">
        <w:t xml:space="preserve">. </w:t>
      </w:r>
    </w:p>
    <w:p w14:paraId="46E7778D" w14:textId="77777777" w:rsidR="007B5D1B" w:rsidRDefault="007B5D1B" w:rsidP="008120C6"/>
    <w:p w14:paraId="4B606701" w14:textId="77777777" w:rsidR="00F52634" w:rsidRDefault="00F52634" w:rsidP="00F52634">
      <w:pPr>
        <w:rPr>
          <w:b/>
          <w:bCs/>
        </w:rPr>
      </w:pPr>
      <w:r w:rsidRPr="00B6071A">
        <w:rPr>
          <w:b/>
          <w:bCs/>
        </w:rPr>
        <w:t>Q8. We are keen to understand how these proposed Enhanced Co-ordination activities could best integrate with NESO's RESP processes in the near and long term, and how these proposals could complement, or be in tension with, RESP development?</w:t>
      </w:r>
    </w:p>
    <w:p w14:paraId="418596A6" w14:textId="0AF10B1F" w:rsidR="00E93FCB" w:rsidRPr="00E93FCB" w:rsidRDefault="00E93FCB" w:rsidP="00F52634">
      <w:r>
        <w:t xml:space="preserve">As mentioned before, </w:t>
      </w:r>
      <w:r w:rsidR="001337CA">
        <w:t xml:space="preserve">we believe that “Enhanced Co-ordination” activities, which essentially </w:t>
      </w:r>
      <w:r w:rsidR="00183E8E">
        <w:t>means better data sharing and stakeholder engagement, could have benefits to energy planning more broadly, not just retrofit activity.</w:t>
      </w:r>
      <w:r w:rsidR="007714EE">
        <w:t xml:space="preserve"> </w:t>
      </w:r>
      <w:r w:rsidR="008C3740">
        <w:t>We are experiencing a</w:t>
      </w:r>
      <w:r w:rsidR="00075AF9">
        <w:t xml:space="preserve"> fundamental</w:t>
      </w:r>
      <w:r w:rsidR="008C3740">
        <w:t xml:space="preserve"> shi</w:t>
      </w:r>
      <w:r w:rsidR="00075AF9">
        <w:t>f</w:t>
      </w:r>
      <w:r w:rsidR="008C3740">
        <w:t xml:space="preserve">t in energy system development, where the aim is to be proactive but efficient, </w:t>
      </w:r>
      <w:r w:rsidR="00075AF9">
        <w:t xml:space="preserve">through effective planning. </w:t>
      </w:r>
      <w:r w:rsidR="008C3740">
        <w:t xml:space="preserve"> </w:t>
      </w:r>
      <w:r w:rsidR="00246D50">
        <w:t xml:space="preserve">DNOs play a central role in </w:t>
      </w:r>
      <w:r w:rsidR="00854778">
        <w:t xml:space="preserve">spatial </w:t>
      </w:r>
      <w:r w:rsidR="00246D50">
        <w:t xml:space="preserve">energy planning at both a national </w:t>
      </w:r>
      <w:r w:rsidR="00246D50">
        <w:lastRenderedPageBreak/>
        <w:t xml:space="preserve">and local level, which also informs their network planning activities. </w:t>
      </w:r>
      <w:r w:rsidR="002D7435" w:rsidRPr="002D7435">
        <w:t xml:space="preserve">A key challenge for </w:t>
      </w:r>
      <w:r w:rsidR="00745677">
        <w:t xml:space="preserve">local planning </w:t>
      </w:r>
      <w:r w:rsidR="002D7435" w:rsidRPr="002D7435">
        <w:t xml:space="preserve">has been the inconsistency in data provision across DNOs, including differences in format, granularity and underlying assumptions. This makes it more difficult for </w:t>
      </w:r>
      <w:r w:rsidR="26E115F7" w:rsidRPr="002D7435">
        <w:t>l</w:t>
      </w:r>
      <w:r w:rsidR="002D7435" w:rsidRPr="002D7435">
        <w:t xml:space="preserve">ocal </w:t>
      </w:r>
      <w:r w:rsidR="2F1C09AE">
        <w:t>a</w:t>
      </w:r>
      <w:r w:rsidR="002D7435" w:rsidRPr="002D7435">
        <w:t>uthorities to develop standardised and comparable plans across regions.</w:t>
      </w:r>
      <w:r w:rsidR="00745677">
        <w:rPr>
          <w:rStyle w:val="FootnoteReference"/>
        </w:rPr>
        <w:footnoteReference w:id="27"/>
      </w:r>
      <w:r w:rsidR="00B941DD">
        <w:t xml:space="preserve"> Therefore, we think that this “Enhanced Co-ordination” could also support things like RESP, as well as Local Area Energy Plans. However, the biggest risk for us is duplication</w:t>
      </w:r>
      <w:r w:rsidR="00640713">
        <w:t xml:space="preserve">. </w:t>
      </w:r>
    </w:p>
    <w:p w14:paraId="3432C804" w14:textId="77777777" w:rsidR="00E93FCB" w:rsidRDefault="00E93FCB" w:rsidP="00E93FCB">
      <w:r>
        <w:t>Potential complements:</w:t>
      </w:r>
    </w:p>
    <w:p w14:paraId="1C28C02B" w14:textId="2C9D34AC" w:rsidR="002B5FD1" w:rsidRDefault="002B5FD1" w:rsidP="000064ED">
      <w:pPr>
        <w:pStyle w:val="ListParagraph"/>
        <w:numPr>
          <w:ilvl w:val="0"/>
          <w:numId w:val="5"/>
        </w:numPr>
      </w:pPr>
      <w:r>
        <w:t xml:space="preserve">Data consistency </w:t>
      </w:r>
      <w:r w:rsidR="005A1882">
        <w:t>–</w:t>
      </w:r>
      <w:r>
        <w:t xml:space="preserve"> </w:t>
      </w:r>
      <w:r w:rsidR="005A1882">
        <w:t xml:space="preserve">This could help encourage DNOs to share data in a consistent, easy to understand way, that not only helps with targeted place-based retrofit, but planning more widely. </w:t>
      </w:r>
    </w:p>
    <w:p w14:paraId="1ADC9ABB" w14:textId="77777777" w:rsidR="002B5FD1" w:rsidRDefault="002B5FD1" w:rsidP="002B5FD1">
      <w:pPr>
        <w:pStyle w:val="ListParagraph"/>
      </w:pPr>
    </w:p>
    <w:p w14:paraId="1D7A561B" w14:textId="77777777" w:rsidR="00E93FCB" w:rsidRDefault="00E93FCB" w:rsidP="00E93FCB">
      <w:r>
        <w:t>Potential tensions:</w:t>
      </w:r>
    </w:p>
    <w:p w14:paraId="79460034" w14:textId="28E710CF" w:rsidR="00E93FCB" w:rsidRDefault="00E93FCB" w:rsidP="000064ED">
      <w:pPr>
        <w:pStyle w:val="ListParagraph"/>
        <w:numPr>
          <w:ilvl w:val="0"/>
          <w:numId w:val="6"/>
        </w:numPr>
      </w:pPr>
      <w:r>
        <w:t>Duplication of planning functions</w:t>
      </w:r>
      <w:r w:rsidR="005A1882">
        <w:t xml:space="preserve"> </w:t>
      </w:r>
      <w:r w:rsidR="005A72B6">
        <w:t xml:space="preserve">– This interface may result in duplicated work that is already taking place for the RESP development. </w:t>
      </w:r>
    </w:p>
    <w:p w14:paraId="68DB09C7" w14:textId="20B61591" w:rsidR="00D60B8E" w:rsidRDefault="00E93FCB" w:rsidP="000064ED">
      <w:pPr>
        <w:pStyle w:val="ListParagraph"/>
        <w:numPr>
          <w:ilvl w:val="0"/>
          <w:numId w:val="6"/>
        </w:numPr>
        <w:tabs>
          <w:tab w:val="left" w:pos="1290"/>
        </w:tabs>
      </w:pPr>
      <w:r>
        <w:t>Increased complexity</w:t>
      </w:r>
      <w:r w:rsidR="005A72B6">
        <w:t xml:space="preserve"> on interface – In order to facilitate with RESPs, and Local Area Energy Plans, </w:t>
      </w:r>
      <w:r w:rsidR="00073F6C">
        <w:t xml:space="preserve">additional data may be needed in the interface, which results in it being difficult to use. </w:t>
      </w:r>
    </w:p>
    <w:p w14:paraId="5AE17705" w14:textId="77777777" w:rsidR="00073F6C" w:rsidRDefault="00073F6C" w:rsidP="00073F6C">
      <w:pPr>
        <w:tabs>
          <w:tab w:val="left" w:pos="1290"/>
        </w:tabs>
      </w:pPr>
    </w:p>
    <w:p w14:paraId="7C1756E9" w14:textId="21982AD4" w:rsidR="00A43747" w:rsidRDefault="00A43747" w:rsidP="00A43747">
      <w:pPr>
        <w:rPr>
          <w:b/>
          <w:bCs/>
        </w:rPr>
      </w:pPr>
      <w:r w:rsidRPr="777F9475">
        <w:rPr>
          <w:b/>
          <w:bCs/>
        </w:rPr>
        <w:t>Q9. Do you think if DNOs adopted the type of Expanded Role described above this would add value and support the rollout of LCTs and EE? Could this model provide an effective and viable way to deliver network and system benefits? If so, could this be achieved while also prioritising support for low</w:t>
      </w:r>
      <w:r w:rsidR="007648E8">
        <w:rPr>
          <w:b/>
          <w:bCs/>
        </w:rPr>
        <w:t xml:space="preserve"> </w:t>
      </w:r>
      <w:r w:rsidRPr="777F9475">
        <w:rPr>
          <w:b/>
          <w:bCs/>
        </w:rPr>
        <w:t>income households?</w:t>
      </w:r>
    </w:p>
    <w:p w14:paraId="266E2EB1" w14:textId="1154B706" w:rsidR="00A43747" w:rsidRDefault="00A43747" w:rsidP="00A43747">
      <w:r w:rsidRPr="4AED2359">
        <w:t xml:space="preserve">We are open to the idea of DNOs taking </w:t>
      </w:r>
      <w:r w:rsidR="000D2543">
        <w:t xml:space="preserve">on </w:t>
      </w:r>
      <w:r w:rsidRPr="4AED2359">
        <w:t>an</w:t>
      </w:r>
      <w:r w:rsidR="00640713">
        <w:t xml:space="preserve"> “E</w:t>
      </w:r>
      <w:r w:rsidRPr="4AED2359">
        <w:t xml:space="preserve">xpanded </w:t>
      </w:r>
      <w:r w:rsidR="00640713">
        <w:t>R</w:t>
      </w:r>
      <w:r w:rsidRPr="4AED2359">
        <w:t>ole</w:t>
      </w:r>
      <w:r w:rsidR="00640713">
        <w:t>”</w:t>
      </w:r>
      <w:r w:rsidRPr="4AED2359">
        <w:t xml:space="preserve">, </w:t>
      </w:r>
      <w:r w:rsidR="00A03B0B">
        <w:t xml:space="preserve">as we can </w:t>
      </w:r>
      <w:r w:rsidR="00526942">
        <w:t>see the theoretical benefits of</w:t>
      </w:r>
      <w:r w:rsidRPr="4AED2359">
        <w:t xml:space="preserve"> a place-based approach</w:t>
      </w:r>
      <w:r w:rsidR="00526942">
        <w:t xml:space="preserve"> and better coordination</w:t>
      </w:r>
      <w:r w:rsidR="004C2BEA">
        <w:t xml:space="preserve"> in this space</w:t>
      </w:r>
      <w:r w:rsidRPr="4AED2359">
        <w:t xml:space="preserve">. </w:t>
      </w:r>
      <w:r w:rsidR="00526942">
        <w:t xml:space="preserve">However, </w:t>
      </w:r>
      <w:r w:rsidR="005B2DE5">
        <w:t>to varying degrees (depending on the option chosen)</w:t>
      </w:r>
      <w:r w:rsidR="004C2BEA">
        <w:t>,</w:t>
      </w:r>
      <w:r w:rsidR="005B2DE5">
        <w:t xml:space="preserve"> this </w:t>
      </w:r>
      <w:r w:rsidR="006662C6">
        <w:t xml:space="preserve">will </w:t>
      </w:r>
      <w:r w:rsidR="005B2DE5">
        <w:t xml:space="preserve">significantly change the role </w:t>
      </w:r>
      <w:r w:rsidR="006662C6">
        <w:t xml:space="preserve">that DNOs play in </w:t>
      </w:r>
      <w:r w:rsidR="00302B77">
        <w:t>this space</w:t>
      </w:r>
      <w:r w:rsidR="000D2543">
        <w:t xml:space="preserve">, and we still have concerns </w:t>
      </w:r>
      <w:r w:rsidR="004813F5">
        <w:t>that it could add additional complexity to an already complex space</w:t>
      </w:r>
      <w:r w:rsidR="005F74FF">
        <w:t xml:space="preserve">. Furthermore, </w:t>
      </w:r>
      <w:r w:rsidR="008F50D6">
        <w:t>the value of an Expanded Role depends heavily on</w:t>
      </w:r>
      <w:r w:rsidR="002C64E2">
        <w:t xml:space="preserve"> several</w:t>
      </w:r>
      <w:r w:rsidR="00781732">
        <w:t xml:space="preserve"> variables. </w:t>
      </w:r>
      <w:r w:rsidR="003151AD">
        <w:t>If</w:t>
      </w:r>
      <w:r w:rsidR="00781732">
        <w:t xml:space="preserve"> the role is confined to ED3 framework and grid benefits only,</w:t>
      </w:r>
      <w:r w:rsidR="00A026B9">
        <w:t xml:space="preserve"> we think that there should be further work to quantify those benefits. </w:t>
      </w:r>
      <w:r w:rsidR="00556480">
        <w:t>Our concern is that</w:t>
      </w:r>
      <w:r w:rsidR="00A026B9">
        <w:t xml:space="preserve"> from a decarbonisation perspective</w:t>
      </w:r>
      <w:r w:rsidR="00F73CE5">
        <w:t xml:space="preserve"> the value added may be limited</w:t>
      </w:r>
      <w:r w:rsidR="00A026B9">
        <w:t>, as it may simply focus on the installation of</w:t>
      </w:r>
      <w:r w:rsidR="003151AD">
        <w:t xml:space="preserve"> solar PV and battery storage</w:t>
      </w:r>
      <w:r w:rsidR="00A026B9">
        <w:t>,</w:t>
      </w:r>
      <w:r w:rsidR="00EC41AF">
        <w:t xml:space="preserve"> without supporting electrification of heat. </w:t>
      </w:r>
    </w:p>
    <w:p w14:paraId="7BF23301" w14:textId="125A1C25" w:rsidR="00EC41AF" w:rsidRPr="00EC41AF" w:rsidRDefault="00EC41AF" w:rsidP="00A43747">
      <w:pPr>
        <w:rPr>
          <w:b/>
          <w:bCs/>
        </w:rPr>
      </w:pPr>
      <w:r>
        <w:rPr>
          <w:b/>
          <w:bCs/>
        </w:rPr>
        <w:t xml:space="preserve">A place-based approach has potential benefits, but it is not without its challenges: </w:t>
      </w:r>
    </w:p>
    <w:p w14:paraId="73C221F6" w14:textId="16BE1C97" w:rsidR="006B2E4C" w:rsidRDefault="00A43747" w:rsidP="00A43747">
      <w:r w:rsidRPr="4AED2359">
        <w:t xml:space="preserve">The MCS Foundation has </w:t>
      </w:r>
      <w:r w:rsidR="000E1856">
        <w:t>been interested in the potential benefits of</w:t>
      </w:r>
      <w:r w:rsidRPr="4AED2359">
        <w:t xml:space="preserve"> a place/area-based approach</w:t>
      </w:r>
      <w:r w:rsidR="00321F3A">
        <w:t xml:space="preserve"> to retrofit</w:t>
      </w:r>
      <w:r w:rsidR="006B2E4C">
        <w:t xml:space="preserve"> for many years</w:t>
      </w:r>
      <w:r w:rsidRPr="4AED2359">
        <w:t>.</w:t>
      </w:r>
      <w:r w:rsidR="006B257E">
        <w:t xml:space="preserve"> Whilst we have not piloted place-based delivery of retrofit</w:t>
      </w:r>
      <w:r w:rsidR="004813F5">
        <w:t xml:space="preserve"> ourselves</w:t>
      </w:r>
      <w:r w:rsidR="006B257E">
        <w:t>, o</w:t>
      </w:r>
      <w:r w:rsidRPr="4AED2359">
        <w:t>ur Local Area Retrofit Accelerator (LARA) initiative</w:t>
      </w:r>
      <w:r w:rsidRPr="4AED2359">
        <w:rPr>
          <w:rStyle w:val="FootnoteReference"/>
        </w:rPr>
        <w:footnoteReference w:id="28"/>
      </w:r>
      <w:r w:rsidRPr="4AED2359">
        <w:rPr>
          <w:rStyle w:val="FootnoteReference"/>
        </w:rPr>
        <w:t xml:space="preserve"> </w:t>
      </w:r>
      <w:r w:rsidR="00DC2A1A">
        <w:t xml:space="preserve"> has tested the benefits of local area coordination and </w:t>
      </w:r>
      <w:r w:rsidR="00ED7467">
        <w:t xml:space="preserve">strategic </w:t>
      </w:r>
      <w:r w:rsidR="00DC2A1A">
        <w:t xml:space="preserve">planning </w:t>
      </w:r>
      <w:r w:rsidR="00BF337D">
        <w:t xml:space="preserve">with the aim of increasing retrofit </w:t>
      </w:r>
      <w:r w:rsidR="00BF337D">
        <w:lastRenderedPageBreak/>
        <w:t xml:space="preserve">activity and addressing local challenges. </w:t>
      </w:r>
      <w:r w:rsidR="00ED7467">
        <w:t xml:space="preserve">We have worked with four pilot local areas </w:t>
      </w:r>
      <w:r w:rsidRPr="4AED2359">
        <w:t>to create tailored retrofit strategies,</w:t>
      </w:r>
      <w:r w:rsidR="00681574">
        <w:t xml:space="preserve"> through </w:t>
      </w:r>
      <w:r w:rsidRPr="4AED2359">
        <w:t xml:space="preserve">co-design workshops and strategic working groups. This </w:t>
      </w:r>
      <w:r w:rsidR="00BF337D">
        <w:t>approach acknowledges that different areas are at different stages along the retrofit journey and may have differen</w:t>
      </w:r>
      <w:r w:rsidR="00486364">
        <w:t>t opportunities and challenges</w:t>
      </w:r>
      <w:r w:rsidRPr="4AED2359">
        <w:t xml:space="preserve">, rather than a one-size-fits-all approach. </w:t>
      </w:r>
    </w:p>
    <w:p w14:paraId="6C02147D" w14:textId="12EA7395" w:rsidR="00A43747" w:rsidRDefault="00885CC7" w:rsidP="00A43747">
      <w:r w:rsidRPr="00885CC7">
        <w:t>Nesta</w:t>
      </w:r>
      <w:r w:rsidR="00123A1B">
        <w:t>’s Clean Heat Neighbourhoods project</w:t>
      </w:r>
      <w:r w:rsidRPr="00885CC7">
        <w:t>, which developed and tested the planning stages of a place-based approach to low-carbon heat</w:t>
      </w:r>
      <w:r>
        <w:t xml:space="preserve"> and retrofit</w:t>
      </w:r>
      <w:r w:rsidRPr="00885CC7">
        <w:t>, indicates that the potential benefits include:</w:t>
      </w:r>
      <w:r w:rsidR="00A43747" w:rsidRPr="4AED2359">
        <w:t xml:space="preserve"> </w:t>
      </w:r>
      <w:r w:rsidR="00A43747" w:rsidRPr="4AED2359">
        <w:rPr>
          <w:rStyle w:val="FootnoteReference"/>
        </w:rPr>
        <w:footnoteReference w:id="29"/>
      </w:r>
    </w:p>
    <w:p w14:paraId="26D8F799" w14:textId="77777777" w:rsidR="00A43747" w:rsidRDefault="00A43747" w:rsidP="000064ED">
      <w:pPr>
        <w:pStyle w:val="ListParagraph"/>
        <w:numPr>
          <w:ilvl w:val="0"/>
          <w:numId w:val="14"/>
        </w:numPr>
      </w:pPr>
      <w:r w:rsidRPr="777F9475">
        <w:t>More attractive for households to switch, increasing consumer uptake due to social motivation.</w:t>
      </w:r>
    </w:p>
    <w:p w14:paraId="6C9F698B" w14:textId="77777777" w:rsidR="00A43747" w:rsidRDefault="00A43747" w:rsidP="000D2543">
      <w:pPr>
        <w:pStyle w:val="ListParagraph"/>
      </w:pPr>
    </w:p>
    <w:p w14:paraId="3AA0E5D8" w14:textId="77777777" w:rsidR="00A43747" w:rsidRDefault="00A43747" w:rsidP="000064ED">
      <w:pPr>
        <w:pStyle w:val="ListParagraph"/>
        <w:numPr>
          <w:ilvl w:val="0"/>
          <w:numId w:val="14"/>
        </w:numPr>
      </w:pPr>
      <w:r w:rsidRPr="777F9475">
        <w:t xml:space="preserve">Reduction in cost through economies of scale – reduces cost of consumer acquisition and sales for businesses due to demand being aggregated, fewer travel and scheduling costs. </w:t>
      </w:r>
    </w:p>
    <w:p w14:paraId="499E5C1F" w14:textId="77777777" w:rsidR="00A43747" w:rsidRDefault="00A43747" w:rsidP="000D2543">
      <w:pPr>
        <w:pStyle w:val="ListParagraph"/>
      </w:pPr>
    </w:p>
    <w:p w14:paraId="5B40E422" w14:textId="3C964B51" w:rsidR="00A43747" w:rsidRDefault="00A43747" w:rsidP="000064ED">
      <w:pPr>
        <w:pStyle w:val="ListParagraph"/>
        <w:numPr>
          <w:ilvl w:val="0"/>
          <w:numId w:val="14"/>
        </w:numPr>
      </w:pPr>
      <w:r w:rsidRPr="777F9475">
        <w:t>Builds local supply chain</w:t>
      </w:r>
      <w:r w:rsidR="00006266">
        <w:t>.</w:t>
      </w:r>
      <w:r w:rsidRPr="777F9475">
        <w:t xml:space="preserve"> </w:t>
      </w:r>
    </w:p>
    <w:p w14:paraId="637CC225" w14:textId="77777777" w:rsidR="00A43747" w:rsidRDefault="00A43747" w:rsidP="000D2543">
      <w:pPr>
        <w:pStyle w:val="ListParagraph"/>
      </w:pPr>
    </w:p>
    <w:p w14:paraId="7402D353" w14:textId="40B7D48E" w:rsidR="00222738" w:rsidRDefault="00A43747" w:rsidP="000064ED">
      <w:pPr>
        <w:pStyle w:val="ListParagraph"/>
        <w:numPr>
          <w:ilvl w:val="0"/>
          <w:numId w:val="14"/>
        </w:numPr>
      </w:pPr>
      <w:r w:rsidRPr="777F9475">
        <w:t>More efficient planning for shared infrastructure (e.g. heat networks, networked GSHPs)</w:t>
      </w:r>
    </w:p>
    <w:p w14:paraId="5381F3E0" w14:textId="0E115FB7" w:rsidR="007969AD" w:rsidRDefault="00EE4ACA" w:rsidP="00A43747">
      <w:r>
        <w:t xml:space="preserve">However, </w:t>
      </w:r>
      <w:r w:rsidR="00CA7698">
        <w:t xml:space="preserve">through this project Nesta </w:t>
      </w:r>
      <w:r w:rsidR="003F4CAF">
        <w:t xml:space="preserve">also </w:t>
      </w:r>
      <w:r w:rsidR="003D25D6" w:rsidRPr="003D25D6">
        <w:t>highlight a number of challenges, including unproven scalability, the need for high levels of consumer participation, funding and affordability constraints, delivery complexity, supply chain limitations, and uncertainties around network impacts. It also raises important questions around data availability and the roles and responsibilities of different actors.</w:t>
      </w:r>
      <w:r w:rsidR="003D25D6">
        <w:t xml:space="preserve"> DNOs taking on that coordination role could address the final concern, but there are still many uncertainties around financing,</w:t>
      </w:r>
      <w:r w:rsidR="00903A3E">
        <w:t xml:space="preserve"> how to ensure</w:t>
      </w:r>
      <w:r w:rsidR="003D25D6">
        <w:t xml:space="preserve"> consumer engagement, and supply chain development – areas that DNOs do not currently have experience o</w:t>
      </w:r>
      <w:r w:rsidR="00903A3E">
        <w:t>f</w:t>
      </w:r>
      <w:r w:rsidR="003D25D6">
        <w:t xml:space="preserve"> in the retrofit space. </w:t>
      </w:r>
    </w:p>
    <w:p w14:paraId="31562AB5" w14:textId="4B919DDC" w:rsidR="007969AD" w:rsidRPr="007969AD" w:rsidRDefault="007969AD" w:rsidP="00A43747">
      <w:pPr>
        <w:rPr>
          <w:b/>
          <w:bCs/>
        </w:rPr>
      </w:pPr>
      <w:r>
        <w:rPr>
          <w:b/>
          <w:bCs/>
        </w:rPr>
        <w:t xml:space="preserve">Any future scheme </w:t>
      </w:r>
      <w:r w:rsidR="002C7BF0">
        <w:rPr>
          <w:b/>
          <w:bCs/>
        </w:rPr>
        <w:t>which supports the rollout of LCTs and EE must learn from the mistakes of past schemes</w:t>
      </w:r>
      <w:r w:rsidR="00563011">
        <w:rPr>
          <w:b/>
          <w:bCs/>
        </w:rPr>
        <w:t>:</w:t>
      </w:r>
    </w:p>
    <w:p w14:paraId="36BD779C" w14:textId="4F60DD44" w:rsidR="00A43747" w:rsidRPr="00401BF1" w:rsidRDefault="00A43747" w:rsidP="00A43747">
      <w:r w:rsidRPr="00401BF1">
        <w:t>Following the Energy Company Obligation (ECO) being scrapped due to widespread cases of poor-quality work and possible consumer detriment</w:t>
      </w:r>
      <w:r w:rsidR="00A75C36" w:rsidRPr="00401BF1">
        <w:t xml:space="preserve"> for solid wall insulation</w:t>
      </w:r>
      <w:r w:rsidRPr="00401BF1">
        <w:t>,</w:t>
      </w:r>
      <w:r w:rsidRPr="00401BF1">
        <w:rPr>
          <w:rStyle w:val="FootnoteReference"/>
        </w:rPr>
        <w:footnoteReference w:id="30"/>
      </w:r>
      <w:r w:rsidRPr="00401BF1">
        <w:t xml:space="preserve"> it is crucial that </w:t>
      </w:r>
      <w:r w:rsidR="00A75C36" w:rsidRPr="00401BF1">
        <w:t xml:space="preserve">any future scheme learns from these mistakes and prioritises </w:t>
      </w:r>
      <w:r w:rsidRPr="00401BF1">
        <w:t xml:space="preserve">consumer protection.  </w:t>
      </w:r>
      <w:r w:rsidR="00A75C36" w:rsidRPr="00401BF1">
        <w:t>From our research, the</w:t>
      </w:r>
      <w:r w:rsidRPr="00401BF1">
        <w:t xml:space="preserve"> following challenges </w:t>
      </w:r>
      <w:r w:rsidR="00A4672E" w:rsidRPr="00401BF1">
        <w:t xml:space="preserve">have been </w:t>
      </w:r>
      <w:r w:rsidRPr="00401BF1">
        <w:t>identified</w:t>
      </w:r>
      <w:r w:rsidR="00A4672E" w:rsidRPr="00401BF1">
        <w:t xml:space="preserve"> across retrofit and LCT schemes</w:t>
      </w:r>
      <w:r w:rsidRPr="00401BF1">
        <w:t xml:space="preserve">: </w:t>
      </w:r>
    </w:p>
    <w:p w14:paraId="1DA265C7" w14:textId="19FD4858" w:rsidR="00A43747" w:rsidRPr="00401BF1" w:rsidRDefault="00671FC1" w:rsidP="000064ED">
      <w:pPr>
        <w:pStyle w:val="ListParagraph"/>
        <w:numPr>
          <w:ilvl w:val="0"/>
          <w:numId w:val="11"/>
        </w:numPr>
      </w:pPr>
      <w:r w:rsidRPr="00671FC1">
        <w:lastRenderedPageBreak/>
        <w:t xml:space="preserve">The consumer protections landscape has remained complex and fragmented, despite the integration of </w:t>
      </w:r>
      <w:proofErr w:type="spellStart"/>
      <w:r w:rsidRPr="00671FC1">
        <w:t>TrustMark</w:t>
      </w:r>
      <w:proofErr w:type="spellEnd"/>
      <w:r w:rsidRPr="00671FC1">
        <w:t xml:space="preserve"> into the ECO in 2020 as the scheme’s quality assurance and oversight framework.</w:t>
      </w:r>
      <w:r w:rsidR="00A43747" w:rsidRPr="00401BF1">
        <w:t>.</w:t>
      </w:r>
      <w:r w:rsidR="00A43747" w:rsidRPr="00401BF1">
        <w:rPr>
          <w:rStyle w:val="FootnoteReference"/>
        </w:rPr>
        <w:footnoteReference w:id="31"/>
      </w:r>
    </w:p>
    <w:p w14:paraId="7A274F6B" w14:textId="77777777" w:rsidR="00A43747" w:rsidRPr="00401BF1" w:rsidRDefault="00A43747" w:rsidP="000D2543">
      <w:pPr>
        <w:pStyle w:val="ListParagraph"/>
      </w:pPr>
    </w:p>
    <w:p w14:paraId="208714A8" w14:textId="436BD8C6" w:rsidR="00A43747" w:rsidRPr="00401BF1" w:rsidRDefault="00A43747" w:rsidP="000064ED">
      <w:pPr>
        <w:pStyle w:val="ListParagraph"/>
        <w:numPr>
          <w:ilvl w:val="0"/>
          <w:numId w:val="12"/>
        </w:numPr>
      </w:pPr>
      <w:r w:rsidRPr="00401BF1">
        <w:t>Limited access to independent and impartial advice</w:t>
      </w:r>
      <w:r w:rsidR="000A2E6B" w:rsidRPr="00401BF1">
        <w:t xml:space="preserve"> - </w:t>
      </w:r>
      <w:r w:rsidRPr="00401BF1">
        <w:t>Multiple retrofit schemes have lacked clear, trusted and independent advice for consumers, including the Green Deal, with reporting's of weak consumer understanding and inconsistent scheme branding causing confusion, leading to scams and mis-selling.</w:t>
      </w:r>
      <w:r w:rsidRPr="00401BF1">
        <w:rPr>
          <w:rStyle w:val="FootnoteReference"/>
        </w:rPr>
        <w:footnoteReference w:id="32"/>
      </w:r>
    </w:p>
    <w:p w14:paraId="477C7AD2" w14:textId="55420BA7" w:rsidR="00A43747" w:rsidRPr="00401BF1" w:rsidRDefault="00A43747" w:rsidP="000064ED">
      <w:pPr>
        <w:pStyle w:val="ListParagraph"/>
        <w:numPr>
          <w:ilvl w:val="0"/>
          <w:numId w:val="10"/>
        </w:numPr>
      </w:pPr>
      <w:r w:rsidRPr="00401BF1">
        <w:t>Lack of data sharing and trend monitoring between different actors</w:t>
      </w:r>
      <w:r w:rsidR="000A2E6B" w:rsidRPr="00401BF1">
        <w:t xml:space="preserve"> </w:t>
      </w:r>
      <w:r w:rsidR="00982B93" w:rsidRPr="00401BF1">
        <w:t>–</w:t>
      </w:r>
      <w:r w:rsidR="000A2E6B" w:rsidRPr="00401BF1">
        <w:t xml:space="preserve"> </w:t>
      </w:r>
      <w:r w:rsidR="00982B93" w:rsidRPr="00401BF1">
        <w:t xml:space="preserve">This meant that example of consumer detriment could slip through the net undetected. </w:t>
      </w:r>
    </w:p>
    <w:p w14:paraId="0D80A1E2" w14:textId="77777777" w:rsidR="00A43747" w:rsidRPr="00401BF1" w:rsidRDefault="00A43747" w:rsidP="000064ED">
      <w:pPr>
        <w:pStyle w:val="ListParagraph"/>
        <w:numPr>
          <w:ilvl w:val="0"/>
          <w:numId w:val="9"/>
        </w:numPr>
      </w:pPr>
      <w:r w:rsidRPr="00401BF1">
        <w:t xml:space="preserve">Complex redress routes and weak financial protections </w:t>
      </w:r>
    </w:p>
    <w:p w14:paraId="1ACF1B8B" w14:textId="77777777" w:rsidR="00A43747" w:rsidRPr="00401BF1" w:rsidRDefault="00A43747" w:rsidP="000D2543">
      <w:pPr>
        <w:pStyle w:val="ListParagraph"/>
      </w:pPr>
    </w:p>
    <w:p w14:paraId="16605F11" w14:textId="77777777" w:rsidR="00A43747" w:rsidRPr="00401BF1" w:rsidRDefault="00A43747" w:rsidP="000064ED">
      <w:pPr>
        <w:pStyle w:val="ListParagraph"/>
        <w:numPr>
          <w:ilvl w:val="0"/>
          <w:numId w:val="8"/>
        </w:numPr>
      </w:pPr>
      <w:r w:rsidRPr="00401BF1">
        <w:t>Lack of impartiality among Retrofit Coordinators – There is currently no independent oversight or auditing of Retrofit Coordinator impartiality under ECO4</w:t>
      </w:r>
    </w:p>
    <w:p w14:paraId="0A2BD22A" w14:textId="77777777" w:rsidR="00A43747" w:rsidRPr="00401BF1" w:rsidRDefault="00A43747" w:rsidP="000D2543">
      <w:pPr>
        <w:pStyle w:val="ListParagraph"/>
      </w:pPr>
    </w:p>
    <w:p w14:paraId="496E4C5D" w14:textId="77777777" w:rsidR="00A43747" w:rsidRPr="00401BF1" w:rsidRDefault="00A43747" w:rsidP="00A43747">
      <w:r w:rsidRPr="00401BF1">
        <w:t>The Foundation therefore puts forward recommendations for improving consumer protections for future government schemes, including:</w:t>
      </w:r>
    </w:p>
    <w:p w14:paraId="27745AD6" w14:textId="5825EB22" w:rsidR="00A43747" w:rsidRPr="00401BF1" w:rsidRDefault="00A43747" w:rsidP="000064ED">
      <w:pPr>
        <w:pStyle w:val="ListParagraph"/>
        <w:numPr>
          <w:ilvl w:val="0"/>
          <w:numId w:val="13"/>
        </w:numPr>
      </w:pPr>
      <w:r w:rsidRPr="00401BF1">
        <w:t>Centralise complaints management and undertake proactive consumer outreach</w:t>
      </w:r>
      <w:r w:rsidR="008D6884" w:rsidRPr="00401BF1">
        <w:t>.</w:t>
      </w:r>
    </w:p>
    <w:p w14:paraId="35CD8F6C" w14:textId="2674B6EA" w:rsidR="00A43747" w:rsidRPr="00401BF1" w:rsidRDefault="00A43747" w:rsidP="000064ED">
      <w:pPr>
        <w:pStyle w:val="ListParagraph"/>
        <w:numPr>
          <w:ilvl w:val="0"/>
          <w:numId w:val="13"/>
        </w:numPr>
      </w:pPr>
      <w:r w:rsidRPr="00401BF1">
        <w:t>Ensure transparent data sharing and oversight between different scheme actors</w:t>
      </w:r>
      <w:r w:rsidR="00401BF1" w:rsidRPr="00401BF1">
        <w:t>.</w:t>
      </w:r>
    </w:p>
    <w:p w14:paraId="7C79F280" w14:textId="6699F7FC" w:rsidR="002B3CA0" w:rsidRPr="00401BF1" w:rsidRDefault="002B3CA0" w:rsidP="000064ED">
      <w:pPr>
        <w:pStyle w:val="ListParagraph"/>
        <w:numPr>
          <w:ilvl w:val="0"/>
          <w:numId w:val="13"/>
        </w:numPr>
      </w:pPr>
      <w:r w:rsidRPr="00401BF1">
        <w:t>Ensure that households have access to free and independent advice</w:t>
      </w:r>
      <w:r w:rsidR="00401BF1" w:rsidRPr="00401BF1">
        <w:t>.</w:t>
      </w:r>
    </w:p>
    <w:p w14:paraId="794EA236" w14:textId="50101F16" w:rsidR="00224EFC" w:rsidRDefault="00A43747" w:rsidP="005F005F">
      <w:r w:rsidRPr="00401BF1">
        <w:t xml:space="preserve">These recommendations outline how consumer protection can be strengthened for future retrofit schemes to produce a trusted framework for delivery. If DNOs do expand, </w:t>
      </w:r>
      <w:r w:rsidR="005C62CC">
        <w:t>there needs to be careful consideration of the roles and responsibilities they will</w:t>
      </w:r>
      <w:r w:rsidR="008738D2">
        <w:t xml:space="preserve"> take on. </w:t>
      </w:r>
      <w:r w:rsidR="006646FD">
        <w:t>Will they be responsible for ensuring consumers are protected, or will this be the role of Ofgem?</w:t>
      </w:r>
      <w:r w:rsidR="005F005F">
        <w:t xml:space="preserve"> </w:t>
      </w:r>
      <w:r w:rsidR="006646FD">
        <w:t xml:space="preserve">These are the types of details that will be critical if </w:t>
      </w:r>
      <w:r w:rsidR="005F005F">
        <w:t xml:space="preserve">DNOs do take on an expanded role. </w:t>
      </w:r>
    </w:p>
    <w:p w14:paraId="39A649F7" w14:textId="77777777" w:rsidR="005F005F" w:rsidRDefault="005F005F" w:rsidP="005F005F"/>
    <w:p w14:paraId="41B1A95D" w14:textId="193810B0" w:rsidR="00FA3FC6" w:rsidRDefault="009E684C" w:rsidP="009E684C">
      <w:pPr>
        <w:rPr>
          <w:b/>
          <w:bCs/>
        </w:rPr>
      </w:pPr>
      <w:r w:rsidRPr="4F9BADD1">
        <w:rPr>
          <w:b/>
          <w:bCs/>
        </w:rPr>
        <w:t>Q10. What are your views on us considering these proposals using a network benefit and wider system benefits approach? Do you have relevant information on the likely network, system, consumer or efficiency benefits of such an approach?</w:t>
      </w:r>
    </w:p>
    <w:p w14:paraId="00519C92" w14:textId="4BB4AA6B" w:rsidR="00375929" w:rsidRPr="00375929" w:rsidRDefault="00375929" w:rsidP="009E684C">
      <w:r>
        <w:t xml:space="preserve">We have mixed view on this approach. </w:t>
      </w:r>
    </w:p>
    <w:p w14:paraId="43E3E807" w14:textId="59727FC0" w:rsidR="006C4D01" w:rsidRDefault="00FA3FC6" w:rsidP="00DC3F49">
      <w:pPr>
        <w:spacing w:line="276" w:lineRule="auto"/>
      </w:pPr>
      <w:r w:rsidRPr="00FA3FC6">
        <w:t>We recognise that targeted deployment of technologies such as solar PV and battery storage</w:t>
      </w:r>
      <w:r w:rsidR="005F005F">
        <w:t xml:space="preserve"> </w:t>
      </w:r>
      <w:r w:rsidRPr="00FA3FC6">
        <w:t>—</w:t>
      </w:r>
      <w:r w:rsidR="005F005F">
        <w:t xml:space="preserve"> </w:t>
      </w:r>
      <w:r w:rsidRPr="00FA3FC6">
        <w:t>particularly in areas where the network is constrained</w:t>
      </w:r>
      <w:r w:rsidR="005F005F">
        <w:t xml:space="preserve"> </w:t>
      </w:r>
      <w:r w:rsidRPr="00FA3FC6">
        <w:t>—</w:t>
      </w:r>
      <w:r w:rsidR="005F005F">
        <w:t xml:space="preserve"> </w:t>
      </w:r>
      <w:r w:rsidRPr="00FA3FC6">
        <w:t xml:space="preserve">could deliver meaningful benefits. </w:t>
      </w:r>
      <w:r w:rsidR="0041174D" w:rsidRPr="008A19AD">
        <w:t>According to modelling, unlocking domestic flexibility</w:t>
      </w:r>
      <w:r w:rsidR="0041174D">
        <w:t>, primarily through LCT</w:t>
      </w:r>
      <w:r w:rsidR="005C1DE3">
        <w:t xml:space="preserve"> adoption, </w:t>
      </w:r>
      <w:r w:rsidR="0041174D">
        <w:t>could have energy system benefits of £14.1 billion by 2040.</w:t>
      </w:r>
      <w:r w:rsidR="0041174D" w:rsidRPr="008A19AD">
        <w:rPr>
          <w:rStyle w:val="FootnoteReference"/>
          <w:sz w:val="24"/>
          <w:szCs w:val="24"/>
        </w:rPr>
        <w:footnoteReference w:id="33"/>
      </w:r>
      <w:r w:rsidR="0041174D" w:rsidRPr="008A19AD">
        <w:rPr>
          <w:sz w:val="24"/>
          <w:szCs w:val="24"/>
        </w:rPr>
        <w:t xml:space="preserve"> </w:t>
      </w:r>
    </w:p>
    <w:p w14:paraId="61251965" w14:textId="59032314" w:rsidR="00FA3FC6" w:rsidRPr="00FA3FC6" w:rsidRDefault="00FA3FC6" w:rsidP="00FA3FC6">
      <w:r w:rsidRPr="00FA3FC6">
        <w:lastRenderedPageBreak/>
        <w:t>This may be especially impactful in low-income households, where such interventions could provide a combination of system and social value, including reduced network reinforcement costs, wholesale price</w:t>
      </w:r>
      <w:r w:rsidR="00DC3F49">
        <w:t xml:space="preserve"> reductions</w:t>
      </w:r>
      <w:r w:rsidRPr="00FA3FC6">
        <w:t xml:space="preserve">, and direct bill savings for households. In this respect, a coordinated, place-based approach </w:t>
      </w:r>
      <w:r w:rsidR="0065791C">
        <w:t xml:space="preserve">using a network benefit and wider system benefit approach </w:t>
      </w:r>
      <w:r w:rsidRPr="00FA3FC6">
        <w:t>could offer</w:t>
      </w:r>
      <w:r w:rsidR="0065791C">
        <w:t xml:space="preserve"> both </w:t>
      </w:r>
      <w:r w:rsidRPr="00FA3FC6">
        <w:t xml:space="preserve">economic </w:t>
      </w:r>
      <w:r w:rsidR="0065791C">
        <w:t xml:space="preserve">and social </w:t>
      </w:r>
      <w:r w:rsidRPr="00FA3FC6">
        <w:t>benefits.</w:t>
      </w:r>
    </w:p>
    <w:p w14:paraId="674C2862" w14:textId="2C67D6CD" w:rsidR="00FA3FC6" w:rsidRPr="00FA3FC6" w:rsidRDefault="00FA3FC6" w:rsidP="00FA3FC6">
      <w:r w:rsidRPr="00FA3FC6">
        <w:t>However, we do think there are likely to be limits to this approach, particularly in relation to decarbonisation. While there may be some cases where the installation of low-carbon heating technologies</w:t>
      </w:r>
      <w:r w:rsidR="005F005F">
        <w:t>,</w:t>
      </w:r>
      <w:r w:rsidRPr="00FA3FC6">
        <w:t xml:space="preserve"> such as heat pumps</w:t>
      </w:r>
      <w:r w:rsidR="005F005F">
        <w:t>,</w:t>
      </w:r>
      <w:r w:rsidRPr="00FA3FC6">
        <w:t xml:space="preserve"> provides network benefits—for example where flexibility can be effectively utilised—this is unlikely to be typical. In many cases, increased electrification of heat is expected to add to network demand and may require additional reinforcement.</w:t>
      </w:r>
    </w:p>
    <w:p w14:paraId="6FB618A2" w14:textId="26A84E11" w:rsidR="00FA3FC6" w:rsidRDefault="00FA3FC6" w:rsidP="00FA3FC6">
      <w:r w:rsidRPr="00FA3FC6">
        <w:t>An approach driven primarily by network and system benefits may not always coincide with what is required to deliver decarbonisation at pace, particularly in the heat sector.</w:t>
      </w:r>
    </w:p>
    <w:p w14:paraId="4C326D6A" w14:textId="2C8D4EE1" w:rsidR="007A6D11" w:rsidRPr="005F005F" w:rsidRDefault="00375929" w:rsidP="005F005F">
      <w:r w:rsidRPr="00375929">
        <w:t>We also think it is important to distinguish between the context of ED3 and wider policy design. Within the ED3 framework, where such interventions are being considered primarily for their network benefits, this approach may be appropriate—particularly where LCT deployment is delivering additional system value. However, if this model were to be expanded into a broader, government-funded scheme, we would have greater concerns. In that context, interventions should be driven first and foremost by decarbonisation and fuel poverty objectives, rather than network optimisation alon</w:t>
      </w:r>
      <w:r w:rsidR="0065791C">
        <w:t xml:space="preserve">e. </w:t>
      </w:r>
    </w:p>
    <w:p w14:paraId="56B59582" w14:textId="1605F9D2" w:rsidR="000164A1" w:rsidRDefault="00D72543" w:rsidP="00D72543">
      <w:pPr>
        <w:rPr>
          <w:b/>
          <w:bCs/>
        </w:rPr>
      </w:pPr>
      <w:r w:rsidRPr="00044618">
        <w:rPr>
          <w:b/>
          <w:bCs/>
        </w:rPr>
        <w:t xml:space="preserve">Q11. Do you have any views on the archetypes presented and their implications? Do you have any other approaches we should consider? </w:t>
      </w:r>
    </w:p>
    <w:p w14:paraId="6BBCEA29" w14:textId="77777777" w:rsidR="000164A1" w:rsidRPr="000164A1" w:rsidRDefault="000164A1" w:rsidP="000164A1">
      <w:r w:rsidRPr="000164A1">
        <w:t>1. Laying the Groundwork</w:t>
      </w:r>
    </w:p>
    <w:p w14:paraId="4970163D" w14:textId="6B6CDE9A" w:rsidR="000164A1" w:rsidRPr="000164A1" w:rsidRDefault="000164A1" w:rsidP="000164A1">
      <w:r w:rsidRPr="000164A1">
        <w:t xml:space="preserve">We are broadly supportive of this approach in principle. We have previously called for a more proactive role for DNOs in enabling local network upgrades, such as fuse upgrades and unlooping, which can act as key barriers </w:t>
      </w:r>
      <w:r w:rsidR="005F005F">
        <w:t>to LCT</w:t>
      </w:r>
      <w:r w:rsidRPr="000164A1">
        <w:t xml:space="preserve"> uptake. A more coordinated approach to these enabling works could therefore deliver tangible benefits.</w:t>
      </w:r>
    </w:p>
    <w:p w14:paraId="6C11F900" w14:textId="0DB716A4" w:rsidR="000164A1" w:rsidRPr="000164A1" w:rsidRDefault="000164A1" w:rsidP="000164A1">
      <w:r w:rsidRPr="000164A1">
        <w:t xml:space="preserve">There may also be value in DNOs supporting awareness-raising and helping to signpost households towards installers or coordinated procurement schemes. </w:t>
      </w:r>
      <w:r w:rsidR="00ED793A">
        <w:t>However, DNOs currently do not occupy a consumer-facing role</w:t>
      </w:r>
      <w:r w:rsidR="00E23869">
        <w:t xml:space="preserve">, and it is difficult to know how effective they will be in raising interest in LCTs. </w:t>
      </w:r>
    </w:p>
    <w:p w14:paraId="088A62D9" w14:textId="2DA484AD" w:rsidR="000164A1" w:rsidRPr="000164A1" w:rsidRDefault="006417B2" w:rsidP="000164A1">
      <w:r>
        <w:t>Furthermore</w:t>
      </w:r>
      <w:r w:rsidR="000164A1" w:rsidRPr="000164A1">
        <w:t xml:space="preserve">, we expect that this approach is likely to have a limited impact for low-income households. While improving information and coordination </w:t>
      </w:r>
      <w:r>
        <w:t xml:space="preserve">could be </w:t>
      </w:r>
      <w:r w:rsidR="000164A1" w:rsidRPr="000164A1">
        <w:t>helpful, cost remains the primary barrier for these groups.</w:t>
      </w:r>
      <w:r w:rsidR="00132DD6">
        <w:rPr>
          <w:rStyle w:val="FootnoteReference"/>
        </w:rPr>
        <w:footnoteReference w:id="34"/>
      </w:r>
      <w:r w:rsidR="000164A1" w:rsidRPr="000164A1">
        <w:t xml:space="preserve"> As such, without additional financial support or targeted intervention, it is unlikely that this approach alone will drive significant uptake among </w:t>
      </w:r>
      <w:r w:rsidR="002D15AD">
        <w:t xml:space="preserve">low-income households. </w:t>
      </w:r>
    </w:p>
    <w:p w14:paraId="76CE1C79" w14:textId="77777777" w:rsidR="00655DC6" w:rsidRPr="00655DC6" w:rsidRDefault="00655DC6" w:rsidP="00655DC6">
      <w:r w:rsidRPr="00655DC6">
        <w:t>2. Widening Participation</w:t>
      </w:r>
    </w:p>
    <w:p w14:paraId="5C273701" w14:textId="77777777" w:rsidR="00655DC6" w:rsidRPr="00655DC6" w:rsidRDefault="00655DC6" w:rsidP="00655DC6">
      <w:r w:rsidRPr="00655DC6">
        <w:lastRenderedPageBreak/>
        <w:t>This is the most ambitious of the approaches and therefore carries the greatest level of implementation risk. In particular, there are questions around whether DNOs have the expertise and capability to take on what is effectively a delivery and coordination role at scale.</w:t>
      </w:r>
    </w:p>
    <w:p w14:paraId="3D1A9284" w14:textId="430F2F97" w:rsidR="00194E56" w:rsidRPr="00655DC6" w:rsidRDefault="00194E56" w:rsidP="00655DC6">
      <w:r w:rsidRPr="00194E56">
        <w:t xml:space="preserve">This approach most clearly raises the tension between the objectives of home decarbonisation and network efficiency, as </w:t>
      </w:r>
      <w:r w:rsidR="001A2F0D">
        <w:t xml:space="preserve">it aims to maximise impact through </w:t>
      </w:r>
      <w:r w:rsidR="004A3446">
        <w:t>potentially pooling existing funding. G</w:t>
      </w:r>
      <w:r>
        <w:t>overnment funded scheme</w:t>
      </w:r>
      <w:r w:rsidR="00A638A3">
        <w:t>s</w:t>
      </w:r>
      <w:r>
        <w:t xml:space="preserve"> should clearly be prioritising</w:t>
      </w:r>
      <w:r w:rsidR="003D1515">
        <w:t xml:space="preserve"> low-income </w:t>
      </w:r>
      <w:r w:rsidR="004A3446">
        <w:t xml:space="preserve">households </w:t>
      </w:r>
      <w:r w:rsidR="003D1515">
        <w:t>and</w:t>
      </w:r>
      <w:r>
        <w:t xml:space="preserve"> </w:t>
      </w:r>
      <w:r w:rsidR="003D1515">
        <w:t>decarbonisation objectives, whereas DNO</w:t>
      </w:r>
      <w:r w:rsidR="00A638A3">
        <w:t>s</w:t>
      </w:r>
      <w:r w:rsidR="003D1515">
        <w:t xml:space="preserve"> may be more focused on network related issues.</w:t>
      </w:r>
    </w:p>
    <w:p w14:paraId="38041F98" w14:textId="1DE77A18" w:rsidR="00655DC6" w:rsidRPr="00655DC6" w:rsidRDefault="00655DC6" w:rsidP="00655DC6">
      <w:r w:rsidRPr="00655DC6">
        <w:t>That said, this approach could unlock significant benefits. Coordinated delivery at scale may enable economies of scale, reduce costs, and create opportunities to stack funding from multiple schemes, including access to private finance or low-cost loans. A “one-stop-shop” model could also help simplify the customer journe</w:t>
      </w:r>
      <w:r w:rsidR="003D1515">
        <w:t xml:space="preserve">y if it was done effectively. </w:t>
      </w:r>
    </w:p>
    <w:p w14:paraId="1479DBC2" w14:textId="4177C804" w:rsidR="00D52846" w:rsidRPr="00307CF2" w:rsidRDefault="00655DC6" w:rsidP="00D72543">
      <w:r w:rsidRPr="00655DC6">
        <w:t>However, this model would be complex to design and deliver, and it is not clear what the incentive would be for DNOs to take on such an expanded role. Without clear alignment of incentives and responsibilities, there is a risk of inconsistent delivery.</w:t>
      </w:r>
    </w:p>
    <w:p w14:paraId="1741C7E7" w14:textId="77777777" w:rsidR="00307CF2" w:rsidRPr="00307CF2" w:rsidRDefault="00307CF2" w:rsidP="00307CF2">
      <w:r w:rsidRPr="00307CF2">
        <w:t>3. Focused Intervention</w:t>
      </w:r>
    </w:p>
    <w:p w14:paraId="4FCDFEBD" w14:textId="77777777" w:rsidR="00307CF2" w:rsidRPr="00307CF2" w:rsidRDefault="00307CF2" w:rsidP="00307CF2">
      <w:r w:rsidRPr="00307CF2">
        <w:t>We recognise that there may be benefits in targeted deployment of technologies such as solar PV and battery storage, including in low-income households, where this could reduce bills and provide system value. However, there are important risks to consider.</w:t>
      </w:r>
    </w:p>
    <w:p w14:paraId="2CB274C0" w14:textId="77777777" w:rsidR="00307CF2" w:rsidRPr="00307CF2" w:rsidRDefault="00307CF2" w:rsidP="00307CF2">
      <w:r w:rsidRPr="00307CF2">
        <w:t>In particular, if such interventions are funded through energy bills over a long period, this could increase electricity costs at a time when policy is seeking to incentivise electrification. There is therefore a risk that a narrow focus on network efficiency could have unintended consequences for wider decarbonisation objectives.</w:t>
      </w:r>
    </w:p>
    <w:p w14:paraId="29661F52" w14:textId="1E6AB719" w:rsidR="005F005F" w:rsidRPr="007969AD" w:rsidRDefault="00307CF2" w:rsidP="00D72543">
      <w:r w:rsidRPr="00307CF2">
        <w:t>More broadly, this approach may prioritise locations and measures based on grid need rather than household need, which could limit its effectiveness as a decarbonisation or fuel poverty intervention.</w:t>
      </w:r>
      <w:r w:rsidR="007969AD">
        <w:t xml:space="preserve"> </w:t>
      </w:r>
    </w:p>
    <w:p w14:paraId="15E38D80" w14:textId="6BFFF87E" w:rsidR="008957A4" w:rsidRPr="008957A4" w:rsidRDefault="005F005F" w:rsidP="00D72543">
      <w:pPr>
        <w:rPr>
          <w:b/>
          <w:bCs/>
        </w:rPr>
      </w:pPr>
      <w:r w:rsidRPr="00044618">
        <w:rPr>
          <w:b/>
          <w:bCs/>
        </w:rPr>
        <w:t xml:space="preserve">Do you have any evidence on key components notably: </w:t>
      </w:r>
    </w:p>
    <w:p w14:paraId="128F21AE" w14:textId="77777777" w:rsidR="001F11D7" w:rsidRPr="001F11D7" w:rsidRDefault="001F11D7" w:rsidP="000064ED">
      <w:pPr>
        <w:pStyle w:val="ListParagraph"/>
        <w:numPr>
          <w:ilvl w:val="0"/>
          <w:numId w:val="15"/>
        </w:numPr>
        <w:rPr>
          <w:b/>
          <w:bCs/>
          <w:i/>
          <w:iCs/>
        </w:rPr>
      </w:pPr>
      <w:r w:rsidRPr="001F11D7">
        <w:rPr>
          <w:b/>
          <w:bCs/>
          <w:i/>
          <w:iCs/>
        </w:rPr>
        <w:t xml:space="preserve">On the technologies and measures that should be supported: Do you have evidence on the relative costs and benefits of different technologies? How could heat pumps and other low-carbon heating technologies be included whilst still offering wider system benefits? </w:t>
      </w:r>
    </w:p>
    <w:p w14:paraId="44E47E25" w14:textId="77777777" w:rsidR="007804E8" w:rsidRDefault="00E739AF" w:rsidP="00E739AF">
      <w:r w:rsidRPr="4AED2359">
        <w:t xml:space="preserve">The MCS Foundation supports the increased rollout rate of LCTs and EE measures being installed into homes. From a grid perspective, the LCTs likely to have the greatest benefit relative to cost are battery storage and solar PV. These technologies can reduce peak demand, improve network utilisation and defer or avoid network reinforcement, making them attractive for DNOs. </w:t>
      </w:r>
      <w:r w:rsidRPr="4AED2359">
        <w:rPr>
          <w:rStyle w:val="FootnoteReference"/>
        </w:rPr>
        <w:footnoteReference w:id="35"/>
      </w:r>
      <w:r w:rsidRPr="4AED2359">
        <w:t xml:space="preserve"> </w:t>
      </w:r>
    </w:p>
    <w:p w14:paraId="325674C8" w14:textId="24CD0886" w:rsidR="00E739AF" w:rsidRPr="008F1C7A" w:rsidRDefault="00B266C7" w:rsidP="00E739AF">
      <w:pPr>
        <w:rPr>
          <w:vertAlign w:val="superscript"/>
        </w:rPr>
      </w:pPr>
      <w:r>
        <w:lastRenderedPageBreak/>
        <w:t>Energy efficiency measures permanently reduce demand</w:t>
      </w:r>
      <w:r w:rsidR="007804E8">
        <w:t xml:space="preserve">, which has network and system benefits. </w:t>
      </w:r>
      <w:r w:rsidR="00F60A05">
        <w:t>One study modelled that i</w:t>
      </w:r>
      <w:r w:rsidR="00F60A05" w:rsidRPr="00F60A05">
        <w:t>f every home was fitted with a heat pump in the UK and their Space Heat Demand were decreased by 25% through energy efficiency improvements, this could reduce peak demand in 2050 by 10GW</w:t>
      </w:r>
      <w:r w:rsidR="00F60A05">
        <w:t>.</w:t>
      </w:r>
      <w:r w:rsidR="00F60A05" w:rsidRPr="00F60A05">
        <w:t xml:space="preserve"> This translates to an estimated saving of £0.57–3.62bn in yearly electricity bills, and over £33bn in avoided network upgrades requirements.</w:t>
      </w:r>
      <w:r w:rsidR="0023725A">
        <w:rPr>
          <w:rStyle w:val="FootnoteReference"/>
        </w:rPr>
        <w:footnoteReference w:id="36"/>
      </w:r>
      <w:r w:rsidR="008F1C7A">
        <w:t xml:space="preserve"> Therefore, we do not think that </w:t>
      </w:r>
      <w:r w:rsidR="008957A4">
        <w:t>low-cost</w:t>
      </w:r>
      <w:r w:rsidR="008F1C7A">
        <w:t xml:space="preserve"> measures, like loft insulation and cavity wall, should be </w:t>
      </w:r>
      <w:r w:rsidR="00F23BC6">
        <w:t>excluded</w:t>
      </w:r>
      <w:r w:rsidR="008F1C7A">
        <w:t xml:space="preserve">. </w:t>
      </w:r>
      <w:r w:rsidR="00B12826">
        <w:t xml:space="preserve">However, as stated before, we must ensure that there is </w:t>
      </w:r>
      <w:r w:rsidR="003D6184">
        <w:t xml:space="preserve">robust oversight to avoid a repeat of the mistakes </w:t>
      </w:r>
      <w:r w:rsidR="00ED03E0">
        <w:t xml:space="preserve">of ECO. </w:t>
      </w:r>
    </w:p>
    <w:p w14:paraId="39CAEE67" w14:textId="707D0AC4" w:rsidR="00E739AF" w:rsidRPr="00E739AF" w:rsidRDefault="00E739AF" w:rsidP="00E739AF">
      <w:pPr>
        <w:rPr>
          <w:rFonts w:ascii="Segoe UI Emoji" w:eastAsia="Segoe UI Emoji" w:hAnsi="Segoe UI Emoji" w:cs="Segoe UI Emoji"/>
        </w:rPr>
      </w:pPr>
      <w:r w:rsidRPr="4AED2359">
        <w:t>However, a fundamental tension between local network optimisation and whole-system decarbonisation objectives arise. To support the UK’s aim of</w:t>
      </w:r>
      <w:r w:rsidR="00A04652">
        <w:t xml:space="preserve"> installing</w:t>
      </w:r>
      <w:r w:rsidRPr="4AED2359">
        <w:t xml:space="preserve"> </w:t>
      </w:r>
      <w:r w:rsidR="00A04652">
        <w:t>450</w:t>
      </w:r>
      <w:r w:rsidRPr="4AED2359">
        <w:t>,000 heat pump installations a year from 20</w:t>
      </w:r>
      <w:r w:rsidR="00A04652">
        <w:t>30</w:t>
      </w:r>
      <w:r w:rsidRPr="4AED2359">
        <w:t xml:space="preserve">, heat pump roll out is crucial to achieving the UK’s net zero goal. We question the tensions between ED3 goals and the wider net zero goals which require heat decarbonisation. Our concern is over how the tension may be bridged or reduced.  </w:t>
      </w:r>
    </w:p>
    <w:p w14:paraId="6C382D65" w14:textId="05754CEC" w:rsidR="00E739AF" w:rsidRDefault="00B95518" w:rsidP="00E739AF">
      <w:r>
        <w:t xml:space="preserve">Heat pumps overall reduce energy demand due to their high efficiency, but they </w:t>
      </w:r>
      <w:r w:rsidR="003A56EF">
        <w:t xml:space="preserve">increase peak </w:t>
      </w:r>
      <w:r w:rsidR="006C32E1">
        <w:t xml:space="preserve">electricity </w:t>
      </w:r>
      <w:r w:rsidR="003A56EF">
        <w:t>demand.</w:t>
      </w:r>
      <w:r w:rsidR="003A56EF">
        <w:rPr>
          <w:rStyle w:val="FootnoteReference"/>
        </w:rPr>
        <w:footnoteReference w:id="37"/>
      </w:r>
      <w:r w:rsidR="007F5275">
        <w:t xml:space="preserve"> </w:t>
      </w:r>
      <w:r w:rsidR="00BD3D13">
        <w:t xml:space="preserve">Emerging research suggests </w:t>
      </w:r>
      <w:r w:rsidR="00E739AF" w:rsidRPr="4AED2359">
        <w:t xml:space="preserve">that heat pumps have substantial untapped potential to contribute to system flexibility when combined with smart controls. The </w:t>
      </w:r>
      <w:proofErr w:type="spellStart"/>
      <w:r w:rsidR="00E739AF" w:rsidRPr="4AED2359">
        <w:t>HeatFlex</w:t>
      </w:r>
      <w:proofErr w:type="spellEnd"/>
      <w:r w:rsidR="39C9E229" w:rsidRPr="4AED2359">
        <w:t xml:space="preserve"> project/programme/</w:t>
      </w:r>
      <w:proofErr w:type="spellStart"/>
      <w:r w:rsidR="39C9E229">
        <w:t>trial?</w:t>
      </w:r>
      <w:r w:rsidR="00E739AF" w:rsidRPr="4AED2359">
        <w:t>found</w:t>
      </w:r>
      <w:proofErr w:type="spellEnd"/>
      <w:r w:rsidR="00E739AF" w:rsidRPr="4AED2359">
        <w:t xml:space="preserve"> that the potential reduction in household consumption was 32% and a reduction of heat pump specific consumption by 74%, while maintaining consumer comfort and high levels of acceptability.</w:t>
      </w:r>
      <w:r w:rsidR="00E739AF" w:rsidRPr="4AED2359">
        <w:rPr>
          <w:rStyle w:val="FootnoteReference"/>
        </w:rPr>
        <w:footnoteReference w:id="38"/>
      </w:r>
      <w:r w:rsidR="00E739AF" w:rsidRPr="4AED2359">
        <w:t xml:space="preserve"> </w:t>
      </w:r>
      <w:r w:rsidR="00031FC5">
        <w:t>This suggests that</w:t>
      </w:r>
      <w:r w:rsidR="00E739AF" w:rsidRPr="4AED2359">
        <w:t xml:space="preserve"> automated heat pump flexibility can </w:t>
      </w:r>
      <w:proofErr w:type="spellStart"/>
      <w:r w:rsidR="00E739AF" w:rsidRPr="4AED2359">
        <w:t>hift</w:t>
      </w:r>
      <w:proofErr w:type="spellEnd"/>
      <w:r w:rsidR="00E739AF" w:rsidRPr="4AED2359">
        <w:t xml:space="preserve"> demand away from peak periods, reducing the need for costly network upgrades. </w:t>
      </w:r>
      <w:r w:rsidR="00EE388A">
        <w:t xml:space="preserve">However, it is worth noting that this was a small trial and that more work is needed to understand the potential role of </w:t>
      </w:r>
      <w:r w:rsidR="00443DAE">
        <w:t xml:space="preserve">low-carbon heating technologies in providing flexibility. </w:t>
      </w:r>
    </w:p>
    <w:p w14:paraId="51FEFE89" w14:textId="38C6C481" w:rsidR="00A76B28" w:rsidRDefault="00A76B28" w:rsidP="00E739AF">
      <w:r>
        <w:t xml:space="preserve">We do not think that heat pumps and other flexible low-carbon heating technologies, like heat batteries should be discounted. But whether or not they will be the primary technology installed will depend on the scope of </w:t>
      </w:r>
      <w:r w:rsidR="00B7199F">
        <w:t xml:space="preserve">the programme. </w:t>
      </w:r>
    </w:p>
    <w:p w14:paraId="7F9F8415" w14:textId="77777777" w:rsidR="00FE731D" w:rsidRPr="00DD5823" w:rsidRDefault="00FE731D" w:rsidP="000064ED">
      <w:pPr>
        <w:pStyle w:val="ListParagraph"/>
        <w:numPr>
          <w:ilvl w:val="0"/>
          <w:numId w:val="15"/>
        </w:numPr>
        <w:rPr>
          <w:b/>
          <w:bCs/>
        </w:rPr>
      </w:pPr>
      <w:r w:rsidRPr="00DD5823">
        <w:rPr>
          <w:b/>
          <w:bCs/>
        </w:rPr>
        <w:t xml:space="preserve">On the identification of suitable properties and consumer engagement: Would DNOs be well placed to proactively identify suitable properties and/or engage with consumers, or are there other actors better place to perform these functions? </w:t>
      </w:r>
    </w:p>
    <w:p w14:paraId="259B12A4" w14:textId="357F1432" w:rsidR="00FE731D" w:rsidRDefault="00FE731D" w:rsidP="00FE731D">
      <w:r>
        <w:t>One of our main concerns is that DNOs do not generally have a consumer-facing role in the energy transition, as highlighted in one our recent report</w:t>
      </w:r>
      <w:r w:rsidR="14785EBF">
        <w:t xml:space="preserve"> on engaging households in demand side response</w:t>
      </w:r>
      <w:r>
        <w:t>.</w:t>
      </w:r>
      <w:r w:rsidRPr="4F9BADD1">
        <w:rPr>
          <w:rStyle w:val="FootnoteReference"/>
        </w:rPr>
        <w:footnoteReference w:id="39"/>
      </w:r>
      <w:r w:rsidRPr="4AED2359">
        <w:rPr>
          <w:rStyle w:val="FootnoteReference"/>
        </w:rPr>
        <w:t xml:space="preserve"> </w:t>
      </w:r>
      <w:r>
        <w:t xml:space="preserve"> This puts DNOs at a disadvantage with leading engagement activities. </w:t>
      </w:r>
    </w:p>
    <w:p w14:paraId="4926DE8A" w14:textId="46BD3AE9" w:rsidR="00FE731D" w:rsidRDefault="00FE731D" w:rsidP="00FE731D">
      <w:r>
        <w:lastRenderedPageBreak/>
        <w:t>The report recommends that flexibility procurers like DNOs, work alongside trusted messengers linked to local relationships to engage households as part of a proactive approach. Therefore, we do not believe that DNOs would be best suited for consumer engagement roles, unless they are coordinated alongside trusted messengers like local authorities or community groups. Additionally, 78% of respondents were unaware of demand</w:t>
      </w:r>
      <w:r w:rsidR="003F677D">
        <w:t xml:space="preserve"> </w:t>
      </w:r>
      <w:r>
        <w:t xml:space="preserve">side response, and only 11% are on a time-of-use tariff. This suggests that scaling participation in flexibility could require significant investment in communication, trust-building and engagement strategies from DNOs and local actors. This means there is a requirement for households to become more aware of the benefits of DSR, but in a simple and understandable way. </w:t>
      </w:r>
    </w:p>
    <w:p w14:paraId="7334407A" w14:textId="77777777" w:rsidR="00FE731D" w:rsidRDefault="00FE731D" w:rsidP="00FE731D">
      <w:r>
        <w:t xml:space="preserve">We suggest that engagement is delivered by local actors as a more effective route to consumer engagement. However, this could introduce more cost and complexity, which should be considered. </w:t>
      </w:r>
    </w:p>
    <w:p w14:paraId="6CD5ED81" w14:textId="77777777" w:rsidR="00CF6995" w:rsidRDefault="00CF6995" w:rsidP="00073F6C">
      <w:pPr>
        <w:tabs>
          <w:tab w:val="left" w:pos="1290"/>
        </w:tabs>
      </w:pPr>
    </w:p>
    <w:p w14:paraId="79D01BA4" w14:textId="08534FD1" w:rsidR="00AF6044" w:rsidRPr="00DD5823" w:rsidRDefault="00AF6044" w:rsidP="000064ED">
      <w:pPr>
        <w:pStyle w:val="ListParagraph"/>
        <w:numPr>
          <w:ilvl w:val="0"/>
          <w:numId w:val="15"/>
        </w:numPr>
        <w:rPr>
          <w:b/>
          <w:bCs/>
        </w:rPr>
      </w:pPr>
      <w:r w:rsidRPr="00DD5823">
        <w:rPr>
          <w:b/>
          <w:bCs/>
        </w:rPr>
        <w:t>On the potential funding approaches and implications: w</w:t>
      </w:r>
      <w:r w:rsidR="003F677D" w:rsidRPr="00DD5823">
        <w:rPr>
          <w:b/>
          <w:bCs/>
        </w:rPr>
        <w:t>hat</w:t>
      </w:r>
      <w:r w:rsidRPr="00DD5823">
        <w:rPr>
          <w:b/>
          <w:bCs/>
        </w:rPr>
        <w:t xml:space="preserve"> are your views on the feasibility, or risks from these approaches; do you have evidence from other sources that is relevant to these considerations? </w:t>
      </w:r>
    </w:p>
    <w:p w14:paraId="3FC14B54" w14:textId="4E98D74C" w:rsidR="00AF6044" w:rsidRDefault="00AF6044" w:rsidP="00AF6044">
      <w:r>
        <w:t xml:space="preserve">The MCS Foundation recognises that the proposed funding mechanism could address upfront cost barriers to </w:t>
      </w:r>
      <w:r w:rsidR="003F677D">
        <w:t xml:space="preserve">LCTs. </w:t>
      </w:r>
      <w:r>
        <w:t>However, we have many concerns over the feasibility and risk of such approaches.</w:t>
      </w:r>
    </w:p>
    <w:p w14:paraId="7573ACF4" w14:textId="77777777" w:rsidR="00AF6044" w:rsidRPr="004270C5" w:rsidRDefault="00AF6044" w:rsidP="00AF6044">
      <w:pPr>
        <w:rPr>
          <w:b/>
          <w:bCs/>
        </w:rPr>
      </w:pPr>
      <w:r w:rsidRPr="004270C5">
        <w:rPr>
          <w:b/>
          <w:bCs/>
        </w:rPr>
        <w:t>Current Electricity prices remain high</w:t>
      </w:r>
    </w:p>
    <w:p w14:paraId="52BA28A1" w14:textId="106DBCF2" w:rsidR="00EE6782" w:rsidRDefault="4CF42CF8" w:rsidP="00AF6044">
      <w:pPr>
        <w:rPr>
          <w:rFonts w:eastAsia="TT Norms Pro" w:cs="TT Norms Pro"/>
          <w:color w:val="000000" w:themeColor="text1"/>
        </w:rPr>
      </w:pPr>
      <w:r w:rsidRPr="4AED2359">
        <w:t>W</w:t>
      </w:r>
      <w:r w:rsidR="00AF6044" w:rsidRPr="4AED2359">
        <w:t>e have concerns over a funding model that adds costs onto electricity bills when narrowing the spark gap is crucial at this time. Electricity prices in Great Britain already include a higher proportion of policy and network costs than gas. Th</w:t>
      </w:r>
      <w:r w:rsidR="00814CE9">
        <w:t xml:space="preserve">is is why the </w:t>
      </w:r>
      <w:r w:rsidR="00A05198">
        <w:t>Foundation has been campaigning</w:t>
      </w:r>
      <w:r w:rsidR="00EE6782">
        <w:t xml:space="preserve"> </w:t>
      </w:r>
      <w:r w:rsidR="00A05198">
        <w:t xml:space="preserve">for social and environmental </w:t>
      </w:r>
      <w:r w:rsidR="00AF6044" w:rsidRPr="4AED2359">
        <w:t xml:space="preserve">levies </w:t>
      </w:r>
      <w:r w:rsidR="00814CE9">
        <w:t xml:space="preserve">to be funded through general taxation, which would have saved </w:t>
      </w:r>
      <w:r w:rsidR="00AF6044" w:rsidRPr="4AED2359">
        <w:t xml:space="preserve">households </w:t>
      </w:r>
      <w:r w:rsidR="00814CE9">
        <w:t>up to</w:t>
      </w:r>
      <w:r w:rsidR="00AF6044" w:rsidRPr="4AED2359">
        <w:t xml:space="preserve"> </w:t>
      </w:r>
      <w:r w:rsidR="00AF6044" w:rsidRPr="4AED2359">
        <w:rPr>
          <w:rFonts w:eastAsia="TT Norms Pro" w:cs="TT Norms Pro"/>
          <w:color w:val="000000" w:themeColor="text1"/>
        </w:rPr>
        <w:t>£530 a year</w:t>
      </w:r>
      <w:r w:rsidR="00814CE9">
        <w:rPr>
          <w:rFonts w:eastAsia="TT Norms Pro" w:cs="TT Norms Pro"/>
          <w:color w:val="000000" w:themeColor="text1"/>
        </w:rPr>
        <w:t xml:space="preserve"> in 2025.</w:t>
      </w:r>
      <w:r w:rsidR="00AF6044" w:rsidRPr="4AED2359">
        <w:rPr>
          <w:rFonts w:eastAsia="TT Norms Pro" w:cs="TT Norms Pro"/>
          <w:color w:val="000000" w:themeColor="text1"/>
        </w:rPr>
        <w:t xml:space="preserve"> </w:t>
      </w:r>
      <w:r w:rsidR="00814CE9">
        <w:rPr>
          <w:rFonts w:eastAsia="TT Norms Pro" w:cs="TT Norms Pro"/>
          <w:color w:val="000000" w:themeColor="text1"/>
        </w:rPr>
        <w:t>I</w:t>
      </w:r>
      <w:r w:rsidR="00AF6044" w:rsidRPr="4AED2359">
        <w:rPr>
          <w:rFonts w:eastAsia="TT Norms Pro" w:cs="TT Norms Pro"/>
          <w:color w:val="000000" w:themeColor="text1"/>
        </w:rPr>
        <w:t>nstead</w:t>
      </w:r>
      <w:r w:rsidR="00814CE9">
        <w:rPr>
          <w:rFonts w:eastAsia="TT Norms Pro" w:cs="TT Norms Pro"/>
          <w:color w:val="000000" w:themeColor="text1"/>
        </w:rPr>
        <w:t xml:space="preserve">, </w:t>
      </w:r>
      <w:r w:rsidR="00AF6044" w:rsidRPr="4AED2359">
        <w:rPr>
          <w:rFonts w:eastAsia="TT Norms Pro" w:cs="TT Norms Pro"/>
          <w:color w:val="000000" w:themeColor="text1"/>
        </w:rPr>
        <w:t>levies are predicted to rise by a third in 2031.</w:t>
      </w:r>
      <w:r w:rsidR="00AF6044" w:rsidRPr="4AED2359">
        <w:rPr>
          <w:rStyle w:val="FootnoteReference"/>
          <w:rFonts w:eastAsia="TT Norms Pro" w:cs="TT Norms Pro"/>
          <w:color w:val="000000" w:themeColor="text1"/>
        </w:rPr>
        <w:footnoteReference w:id="40"/>
      </w:r>
      <w:r w:rsidR="00814CE9">
        <w:rPr>
          <w:rFonts w:eastAsia="TT Norms Pro" w:cs="TT Norms Pro"/>
          <w:color w:val="000000" w:themeColor="text1"/>
        </w:rPr>
        <w:t xml:space="preserve"> </w:t>
      </w:r>
    </w:p>
    <w:p w14:paraId="49372DF9" w14:textId="05AE21A2" w:rsidR="00AF6044" w:rsidRDefault="00AF6044" w:rsidP="00AF6044">
      <w:pPr>
        <w:rPr>
          <w:rFonts w:eastAsia="TT Norms Pro" w:cs="TT Norms Pro"/>
          <w:color w:val="000000" w:themeColor="text1"/>
        </w:rPr>
      </w:pPr>
      <w:r w:rsidRPr="4AED2359">
        <w:rPr>
          <w:rFonts w:eastAsia="TT Norms Pro" w:cs="TT Norms Pro"/>
          <w:color w:val="000000" w:themeColor="text1"/>
        </w:rPr>
        <w:t xml:space="preserve">We, therefore, would like to see a cost-benefit analysis </w:t>
      </w:r>
      <w:r w:rsidR="00814CE9">
        <w:rPr>
          <w:rFonts w:eastAsia="TT Norms Pro" w:cs="TT Norms Pro"/>
          <w:color w:val="000000" w:themeColor="text1"/>
        </w:rPr>
        <w:t xml:space="preserve">for </w:t>
      </w:r>
      <w:r w:rsidR="00EE6782">
        <w:rPr>
          <w:rFonts w:eastAsia="TT Norms Pro" w:cs="TT Norms Pro"/>
          <w:color w:val="000000" w:themeColor="text1"/>
        </w:rPr>
        <w:t>funding these measures through ED3 (network costs)</w:t>
      </w:r>
      <w:r w:rsidR="00814CE9">
        <w:rPr>
          <w:rFonts w:eastAsia="TT Norms Pro" w:cs="TT Norms Pro"/>
          <w:color w:val="000000" w:themeColor="text1"/>
        </w:rPr>
        <w:t xml:space="preserve">. If it can be shown that </w:t>
      </w:r>
      <w:r w:rsidR="00B726CB">
        <w:rPr>
          <w:rFonts w:eastAsia="TT Norms Pro" w:cs="TT Norms Pro"/>
          <w:color w:val="000000" w:themeColor="text1"/>
        </w:rPr>
        <w:t>paying for these measures has higher energy system saving</w:t>
      </w:r>
      <w:r w:rsidR="003D6953">
        <w:rPr>
          <w:rFonts w:eastAsia="TT Norms Pro" w:cs="TT Norms Pro"/>
          <w:color w:val="000000" w:themeColor="text1"/>
        </w:rPr>
        <w:t xml:space="preserve"> </w:t>
      </w:r>
      <w:r w:rsidR="003F59B0">
        <w:rPr>
          <w:rFonts w:eastAsia="TT Norms Pro" w:cs="TT Norms Pro"/>
          <w:color w:val="000000" w:themeColor="text1"/>
        </w:rPr>
        <w:t xml:space="preserve">than it costs to levy them on electricity bills, we </w:t>
      </w:r>
      <w:r w:rsidR="00EE76F2">
        <w:rPr>
          <w:rFonts w:eastAsia="TT Norms Pro" w:cs="TT Norms Pro"/>
          <w:color w:val="000000" w:themeColor="text1"/>
        </w:rPr>
        <w:t xml:space="preserve">would be </w:t>
      </w:r>
      <w:r w:rsidR="00793048">
        <w:rPr>
          <w:rFonts w:eastAsia="TT Norms Pro" w:cs="TT Norms Pro"/>
          <w:color w:val="000000" w:themeColor="text1"/>
        </w:rPr>
        <w:t>more open to the idea</w:t>
      </w:r>
      <w:r w:rsidR="003D6953">
        <w:rPr>
          <w:rFonts w:eastAsia="TT Norms Pro" w:cs="TT Norms Pro"/>
          <w:color w:val="000000" w:themeColor="text1"/>
        </w:rPr>
        <w:t xml:space="preserve">, but not without concerns. </w:t>
      </w:r>
      <w:r w:rsidRPr="4AED2359">
        <w:rPr>
          <w:rFonts w:eastAsia="TT Norms Pro" w:cs="TT Norms Pro"/>
          <w:color w:val="000000" w:themeColor="text1"/>
        </w:rPr>
        <w:t>Our recent analysis shows that low-income households are already disproportionately affected by levies,</w:t>
      </w:r>
      <w:r w:rsidR="00A074FE">
        <w:rPr>
          <w:rFonts w:eastAsia="TT Norms Pro" w:cs="TT Norms Pro"/>
          <w:color w:val="000000" w:themeColor="text1"/>
        </w:rPr>
        <w:t xml:space="preserve"> with </w:t>
      </w:r>
      <w:r w:rsidRPr="4AED2359">
        <w:rPr>
          <w:rFonts w:eastAsia="TT Norms Pro" w:cs="TT Norms Pro"/>
          <w:color w:val="000000" w:themeColor="text1"/>
        </w:rPr>
        <w:t>some low-income households pa</w:t>
      </w:r>
      <w:r w:rsidR="00A074FE">
        <w:rPr>
          <w:rFonts w:eastAsia="TT Norms Pro" w:cs="TT Norms Pro"/>
          <w:color w:val="000000" w:themeColor="text1"/>
        </w:rPr>
        <w:t xml:space="preserve">ying </w:t>
      </w:r>
      <w:r w:rsidRPr="4AED2359">
        <w:rPr>
          <w:rFonts w:eastAsia="TT Norms Pro" w:cs="TT Norms Pro"/>
          <w:color w:val="000000" w:themeColor="text1"/>
        </w:rPr>
        <w:t>more on levies than they d</w:t>
      </w:r>
      <w:r w:rsidR="048ACA16" w:rsidRPr="4AED2359">
        <w:rPr>
          <w:rFonts w:eastAsia="TT Norms Pro" w:cs="TT Norms Pro"/>
          <w:color w:val="000000" w:themeColor="text1"/>
        </w:rPr>
        <w:t>o</w:t>
      </w:r>
      <w:r w:rsidRPr="4AED2359">
        <w:rPr>
          <w:rFonts w:eastAsia="TT Norms Pro" w:cs="TT Norms Pro"/>
          <w:color w:val="000000" w:themeColor="text1"/>
        </w:rPr>
        <w:t xml:space="preserve"> on bread, rice and cereals.</w:t>
      </w:r>
      <w:r w:rsidRPr="4AED2359">
        <w:rPr>
          <w:rStyle w:val="FootnoteReference"/>
          <w:rFonts w:eastAsia="TT Norms Pro" w:cs="TT Norms Pro"/>
          <w:color w:val="000000" w:themeColor="text1"/>
        </w:rPr>
        <w:footnoteReference w:id="41"/>
      </w:r>
      <w:r w:rsidRPr="4AED2359">
        <w:rPr>
          <w:rFonts w:eastAsia="TT Norms Pro" w:cs="TT Norms Pro"/>
          <w:color w:val="000000" w:themeColor="text1"/>
        </w:rPr>
        <w:t xml:space="preserve"> Increasing electricity network charges to fund DNO-led activities could risk disproportionately impacting low-income households</w:t>
      </w:r>
      <w:r w:rsidR="00EE6782">
        <w:rPr>
          <w:rFonts w:eastAsia="TT Norms Pro" w:cs="TT Norms Pro"/>
          <w:color w:val="000000" w:themeColor="text1"/>
        </w:rPr>
        <w:t xml:space="preserve">. </w:t>
      </w:r>
    </w:p>
    <w:p w14:paraId="7331DBAE" w14:textId="77777777" w:rsidR="00EE6782" w:rsidRDefault="00EE6782" w:rsidP="00EE6782">
      <w:pPr>
        <w:rPr>
          <w:rFonts w:eastAsia="TT Norms Pro" w:cs="TT Norms Pro"/>
          <w:color w:val="000000" w:themeColor="text1"/>
        </w:rPr>
      </w:pPr>
      <w:r w:rsidRPr="4AED2359">
        <w:rPr>
          <w:rFonts w:eastAsia="TT Norms Pro" w:cs="TT Norms Pro"/>
          <w:color w:val="000000" w:themeColor="text1"/>
        </w:rPr>
        <w:t xml:space="preserve">We recognise the benefits of spreading costs over 20 years as opposed to a single year, as proposed in the consultation. However, if the case is that a DNO RAV approach will reduce in-year-bill impacts but have a greater lifetime cost, the Foundation does not fully support </w:t>
      </w:r>
      <w:r w:rsidRPr="4AED2359">
        <w:rPr>
          <w:rFonts w:eastAsia="TT Norms Pro" w:cs="TT Norms Pro"/>
          <w:color w:val="000000" w:themeColor="text1"/>
        </w:rPr>
        <w:lastRenderedPageBreak/>
        <w:t xml:space="preserve">this. Even with greater near-term investment, interest rates will increase costs over time.  EDF energy has already announced a forecasted large increase in supplier network costs, which will appear in consumer bills. </w:t>
      </w:r>
      <w:r w:rsidRPr="4AED2359">
        <w:rPr>
          <w:rStyle w:val="FootnoteReference"/>
          <w:rFonts w:eastAsia="TT Norms Pro" w:cs="TT Norms Pro"/>
          <w:color w:val="000000" w:themeColor="text1"/>
        </w:rPr>
        <w:footnoteReference w:id="42"/>
      </w:r>
    </w:p>
    <w:p w14:paraId="771FA2B6" w14:textId="5CD62D75" w:rsidR="00EE6782" w:rsidRPr="00EE6782" w:rsidRDefault="00EE6782" w:rsidP="00EE6782">
      <w:pPr>
        <w:rPr>
          <w:rFonts w:eastAsia="TT Norms Pro" w:cs="TT Norms Pro"/>
          <w:b/>
          <w:bCs/>
          <w:color w:val="000000" w:themeColor="text1"/>
        </w:rPr>
      </w:pPr>
      <w:r>
        <w:rPr>
          <w:rFonts w:eastAsia="TT Norms Pro" w:cs="TT Norms Pro"/>
          <w:b/>
          <w:bCs/>
          <w:color w:val="000000" w:themeColor="text1"/>
        </w:rPr>
        <w:t xml:space="preserve">Leveraging </w:t>
      </w:r>
      <w:r w:rsidR="00BF4B73">
        <w:rPr>
          <w:rFonts w:eastAsia="TT Norms Pro" w:cs="TT Norms Pro"/>
          <w:b/>
          <w:bCs/>
          <w:color w:val="000000" w:themeColor="text1"/>
        </w:rPr>
        <w:t xml:space="preserve">funding and </w:t>
      </w:r>
      <w:r>
        <w:rPr>
          <w:rFonts w:eastAsia="TT Norms Pro" w:cs="TT Norms Pro"/>
          <w:b/>
          <w:bCs/>
          <w:color w:val="000000" w:themeColor="text1"/>
        </w:rPr>
        <w:t xml:space="preserve">finance </w:t>
      </w:r>
    </w:p>
    <w:p w14:paraId="412CCD8B" w14:textId="656AFC86" w:rsidR="00AF6044" w:rsidRPr="00720439" w:rsidRDefault="00EE6782" w:rsidP="00AF6044">
      <w:pPr>
        <w:rPr>
          <w:rFonts w:eastAsia="TT Norms Pro" w:cs="TT Norms Pro"/>
        </w:rPr>
      </w:pPr>
      <w:r w:rsidRPr="00720439">
        <w:rPr>
          <w:rFonts w:eastAsia="TT Norms Pro" w:cs="TT Norms Pro"/>
          <w:color w:val="000000" w:themeColor="text1"/>
        </w:rPr>
        <w:t>We</w:t>
      </w:r>
      <w:r w:rsidR="00AF6044" w:rsidRPr="00720439">
        <w:rPr>
          <w:rFonts w:eastAsia="TT Norms Pro" w:cs="TT Norms Pro"/>
          <w:color w:val="000000" w:themeColor="text1"/>
        </w:rPr>
        <w:t xml:space="preserve"> see potential value in coordinating different funding mechanisms, such as </w:t>
      </w:r>
      <w:r w:rsidR="002D050C" w:rsidRPr="00720439">
        <w:rPr>
          <w:rFonts w:eastAsia="TT Norms Pro" w:cs="TT Norms Pro"/>
          <w:color w:val="000000" w:themeColor="text1"/>
        </w:rPr>
        <w:t xml:space="preserve">collating existing government funding, whilst also </w:t>
      </w:r>
      <w:r w:rsidR="00AF6044" w:rsidRPr="00720439">
        <w:rPr>
          <w:rFonts w:eastAsia="TT Norms Pro" w:cs="TT Norms Pro"/>
          <w:color w:val="000000" w:themeColor="text1"/>
        </w:rPr>
        <w:t xml:space="preserve">providing low-interest loans. Financing can help households where upfront costs </w:t>
      </w:r>
      <w:r w:rsidR="000A56A3" w:rsidRPr="00720439">
        <w:rPr>
          <w:rFonts w:eastAsia="TT Norms Pro" w:cs="TT Norms Pro"/>
          <w:color w:val="000000" w:themeColor="text1"/>
        </w:rPr>
        <w:t xml:space="preserve">are a barrier, and it could enable able-to-pay households to install LCTs, alongside low-income households who may </w:t>
      </w:r>
      <w:r w:rsidR="00310DFE" w:rsidRPr="00720439">
        <w:rPr>
          <w:rFonts w:eastAsia="TT Norms Pro" w:cs="TT Norms Pro"/>
          <w:color w:val="000000" w:themeColor="text1"/>
        </w:rPr>
        <w:t>be eligible for a</w:t>
      </w:r>
      <w:r w:rsidR="000A56A3" w:rsidRPr="00720439">
        <w:rPr>
          <w:rFonts w:eastAsia="TT Norms Pro" w:cs="TT Norms Pro"/>
          <w:color w:val="000000" w:themeColor="text1"/>
        </w:rPr>
        <w:t xml:space="preserve"> </w:t>
      </w:r>
      <w:r w:rsidR="00310DFE" w:rsidRPr="00720439">
        <w:rPr>
          <w:rFonts w:eastAsia="TT Norms Pro" w:cs="TT Norms Pro"/>
          <w:color w:val="000000" w:themeColor="text1"/>
        </w:rPr>
        <w:t xml:space="preserve">full </w:t>
      </w:r>
      <w:r w:rsidR="000A56A3" w:rsidRPr="00720439">
        <w:rPr>
          <w:rFonts w:eastAsia="TT Norms Pro" w:cs="TT Norms Pro"/>
          <w:color w:val="000000" w:themeColor="text1"/>
        </w:rPr>
        <w:t xml:space="preserve">subsidy. We can see the importance of this in a place-based </w:t>
      </w:r>
      <w:r w:rsidR="002D050C" w:rsidRPr="00720439">
        <w:rPr>
          <w:rFonts w:eastAsia="TT Norms Pro" w:cs="TT Norms Pro"/>
          <w:color w:val="000000" w:themeColor="text1"/>
        </w:rPr>
        <w:t>approach</w:t>
      </w:r>
      <w:r w:rsidR="000A56A3" w:rsidRPr="00720439">
        <w:rPr>
          <w:rFonts w:eastAsia="TT Norms Pro" w:cs="TT Norms Pro"/>
          <w:color w:val="000000" w:themeColor="text1"/>
        </w:rPr>
        <w:t xml:space="preserve">, as it is unlikely that </w:t>
      </w:r>
      <w:r w:rsidR="002D050C" w:rsidRPr="00720439">
        <w:rPr>
          <w:rFonts w:eastAsia="TT Norms Pro" w:cs="TT Norms Pro"/>
          <w:color w:val="000000" w:themeColor="text1"/>
        </w:rPr>
        <w:t>all neighbourhoods will just consist of low-income households</w:t>
      </w:r>
      <w:r w:rsidR="00310DFE" w:rsidRPr="00720439">
        <w:rPr>
          <w:rFonts w:eastAsia="TT Norms Pro" w:cs="TT Norms Pro"/>
          <w:color w:val="000000" w:themeColor="text1"/>
        </w:rPr>
        <w:t xml:space="preserve">, or just able-to-pay households. </w:t>
      </w:r>
    </w:p>
    <w:p w14:paraId="6ED61221" w14:textId="26BB10F4" w:rsidR="00AF6044" w:rsidRPr="00720439" w:rsidRDefault="009716DD" w:rsidP="00AF6044">
      <w:pPr>
        <w:rPr>
          <w:rStyle w:val="normaltextrun"/>
          <w:rFonts w:ascii="TT Norms Pro" w:eastAsia="TT Norms Pro" w:hAnsi="TT Norms Pro" w:cs="TT Norms Pro"/>
          <w:sz w:val="22"/>
          <w:szCs w:val="22"/>
        </w:rPr>
      </w:pPr>
      <w:r w:rsidRPr="00720439">
        <w:rPr>
          <w:rFonts w:eastAsia="TT Norms Pro" w:cs="TT Norms Pro"/>
        </w:rPr>
        <w:t>We can see the value of a</w:t>
      </w:r>
      <w:r w:rsidR="00AF6044" w:rsidRPr="00720439">
        <w:rPr>
          <w:rFonts w:eastAsia="TT Norms Pro" w:cs="TT Norms Pro"/>
        </w:rPr>
        <w:t xml:space="preserve"> one stop-shop for the different funding mechanisms</w:t>
      </w:r>
      <w:r w:rsidR="00804486" w:rsidRPr="00720439">
        <w:rPr>
          <w:rFonts w:eastAsia="TT Norms Pro" w:cs="TT Norms Pro"/>
        </w:rPr>
        <w:t xml:space="preserve">, as well as the </w:t>
      </w:r>
      <w:r w:rsidR="00AF6044" w:rsidRPr="00720439">
        <w:rPr>
          <w:rFonts w:eastAsia="TT Norms Pro" w:cs="TT Norms Pro"/>
        </w:rPr>
        <w:t>economies of scale</w:t>
      </w:r>
      <w:r w:rsidR="00804486" w:rsidRPr="00720439">
        <w:rPr>
          <w:rFonts w:eastAsia="TT Norms Pro" w:cs="TT Norms Pro"/>
        </w:rPr>
        <w:t xml:space="preserve"> that can theoretically be achieved </w:t>
      </w:r>
      <w:r w:rsidR="009B5D79" w:rsidRPr="00720439">
        <w:rPr>
          <w:rFonts w:eastAsia="TT Norms Pro" w:cs="TT Norms Pro"/>
        </w:rPr>
        <w:t xml:space="preserve">through a place-based </w:t>
      </w:r>
      <w:r w:rsidR="000A56A3" w:rsidRPr="00720439">
        <w:rPr>
          <w:rFonts w:eastAsia="TT Norms Pro" w:cs="TT Norms Pro"/>
        </w:rPr>
        <w:t>approach</w:t>
      </w:r>
      <w:r w:rsidR="00AF6044" w:rsidRPr="00720439">
        <w:rPr>
          <w:rFonts w:eastAsia="TT Norms Pro" w:cs="TT Norms Pro"/>
        </w:rPr>
        <w:t>.  A variety of options should be made available due to the differing household financial situations</w:t>
      </w:r>
      <w:r w:rsidR="00310DFE" w:rsidRPr="00720439">
        <w:rPr>
          <w:rFonts w:eastAsia="TT Norms Pro" w:cs="TT Norms Pro"/>
        </w:rPr>
        <w:t xml:space="preserve">. </w:t>
      </w:r>
      <w:r w:rsidR="00AF6044" w:rsidRPr="00720439">
        <w:rPr>
          <w:rFonts w:eastAsia="TT Norms Pro" w:cs="TT Norms Pro"/>
        </w:rPr>
        <w:t>Therefore, we suggest a variety of accessible and flexible options to accelerate retrofit uptake, championing inclusivity. This is becoming more prominent, given the Warm Homes Plan confirmation of a £</w:t>
      </w:r>
      <w:r w:rsidR="00AF6044" w:rsidRPr="00720439">
        <w:rPr>
          <w:rStyle w:val="normaltextrun"/>
          <w:rFonts w:ascii="TT Norms Pro" w:eastAsia="TT Norms Pro" w:hAnsi="TT Norms Pro" w:cs="TT Norms Pro"/>
          <w:sz w:val="22"/>
          <w:szCs w:val="22"/>
        </w:rPr>
        <w:t>2 billion allocated towards consumer loans for energy efficiency upgrades, where homeowners will be able to apply for government-backed, low and zero interest loans to install solar panels, heat pumps and batteries.</w:t>
      </w:r>
      <w:r w:rsidR="00AF6044" w:rsidRPr="00720439">
        <w:rPr>
          <w:rStyle w:val="FootnoteReference"/>
          <w:rFonts w:eastAsia="TT Norms Pro" w:cs="TT Norms Pro"/>
        </w:rPr>
        <w:footnoteReference w:id="43"/>
      </w:r>
      <w:r w:rsidR="00AF6044" w:rsidRPr="00720439">
        <w:rPr>
          <w:rStyle w:val="normaltextrun"/>
          <w:rFonts w:ascii="TT Norms Pro" w:eastAsia="TT Norms Pro" w:hAnsi="TT Norms Pro" w:cs="TT Norms Pro"/>
          <w:sz w:val="22"/>
          <w:szCs w:val="22"/>
        </w:rPr>
        <w:t xml:space="preserve">  The MCS Foundation report on </w:t>
      </w:r>
      <w:r w:rsidR="282B45D3" w:rsidRPr="00720439">
        <w:rPr>
          <w:rStyle w:val="normaltextrun"/>
          <w:rFonts w:ascii="TT Norms Pro" w:eastAsia="TT Norms Pro" w:hAnsi="TT Norms Pro" w:cs="TT Norms Pro"/>
          <w:sz w:val="22"/>
          <w:szCs w:val="22"/>
        </w:rPr>
        <w:t>h</w:t>
      </w:r>
      <w:r w:rsidR="00AF6044" w:rsidRPr="00720439">
        <w:rPr>
          <w:rStyle w:val="normaltextrun"/>
          <w:rFonts w:ascii="TT Norms Pro" w:eastAsia="TT Norms Pro" w:hAnsi="TT Norms Pro" w:cs="TT Norms Pro"/>
          <w:sz w:val="22"/>
          <w:szCs w:val="22"/>
        </w:rPr>
        <w:t>omeowner attitudes to retrofit finance</w:t>
      </w:r>
      <w:r w:rsidR="00AF6044" w:rsidRPr="00720439">
        <w:rPr>
          <w:rStyle w:val="FootnoteReference"/>
          <w:rFonts w:eastAsia="TT Norms Pro" w:cs="TT Norms Pro"/>
        </w:rPr>
        <w:footnoteReference w:id="44"/>
      </w:r>
      <w:r w:rsidR="00AF6044" w:rsidRPr="00720439">
        <w:rPr>
          <w:rStyle w:val="normaltextrun"/>
          <w:rFonts w:ascii="TT Norms Pro" w:eastAsia="TT Norms Pro" w:hAnsi="TT Norms Pro" w:cs="TT Norms Pro"/>
          <w:sz w:val="22"/>
          <w:szCs w:val="22"/>
        </w:rPr>
        <w:t xml:space="preserve"> highlight some key findings such as cost savings (66%) being the most significant reason to retrofit and/or make energy efficiency improvements. Furthermore, interest- free options were generally favoured across all groups. </w:t>
      </w:r>
    </w:p>
    <w:p w14:paraId="23DE9CC7" w14:textId="2E31EE4F" w:rsidR="00983CA1" w:rsidRPr="00983CA1" w:rsidRDefault="00983CA1" w:rsidP="00983CA1">
      <w:pPr>
        <w:rPr>
          <w:rFonts w:eastAsia="TT Norms Pro" w:cs="TT Norms Pro"/>
        </w:rPr>
      </w:pPr>
      <w:r w:rsidRPr="00983CA1">
        <w:rPr>
          <w:rFonts w:eastAsia="TT Norms Pro" w:cs="TT Norms Pro"/>
        </w:rPr>
        <w:t>We have explored the potential for property-linked finance models, including Property Assessed Clean Energy (PACE) loans used in the United States, where finance is attached to the property rather than the individual. While this model has seen success in the US, there is evidence to suggest that legal and regulatory constraints make direct replication in the UK challenging.</w:t>
      </w:r>
      <w:r w:rsidR="00116FCB" w:rsidRPr="00720439">
        <w:rPr>
          <w:rStyle w:val="FootnoteReference"/>
          <w:rFonts w:eastAsia="TT Norms Pro" w:cs="TT Norms Pro"/>
        </w:rPr>
        <w:footnoteReference w:id="45"/>
      </w:r>
    </w:p>
    <w:p w14:paraId="2E3139F0" w14:textId="2B172418" w:rsidR="00983CA1" w:rsidRPr="00983CA1" w:rsidRDefault="00983CA1" w:rsidP="00983CA1">
      <w:pPr>
        <w:rPr>
          <w:rFonts w:eastAsia="TT Norms Pro" w:cs="TT Norms Pro"/>
        </w:rPr>
      </w:pPr>
      <w:r w:rsidRPr="00983CA1">
        <w:rPr>
          <w:rFonts w:eastAsia="TT Norms Pro" w:cs="TT Norms Pro"/>
        </w:rPr>
        <w:t>As a result, there has been greater interest in alternative forms of property-linked finance. The Green Finance Institute has been particularly active in this area, exploring how finance could be linked to the property rather than the customer. Some research suggests there may be slightly higher levels of consumer interest in these models compared to traditional loans.</w:t>
      </w:r>
      <w:r w:rsidR="00116FCB" w:rsidRPr="00720439">
        <w:rPr>
          <w:rStyle w:val="FootnoteReference"/>
          <w:rFonts w:eastAsia="TT Norms Pro" w:cs="TT Norms Pro"/>
        </w:rPr>
        <w:footnoteReference w:id="46"/>
      </w:r>
      <w:r w:rsidR="007C6FFD">
        <w:rPr>
          <w:rFonts w:eastAsia="TT Norms Pro" w:cs="TT Norms Pro"/>
        </w:rPr>
        <w:t xml:space="preserve"> </w:t>
      </w:r>
      <w:r w:rsidR="007C6FFD">
        <w:rPr>
          <w:rStyle w:val="FootnoteReference"/>
          <w:rFonts w:eastAsia="TT Norms Pro" w:cs="TT Norms Pro"/>
        </w:rPr>
        <w:footnoteReference w:id="47"/>
      </w:r>
    </w:p>
    <w:p w14:paraId="31887625" w14:textId="1A5112AB" w:rsidR="00983CA1" w:rsidRPr="00983CA1" w:rsidRDefault="00983CA1" w:rsidP="00983CA1">
      <w:pPr>
        <w:rPr>
          <w:rFonts w:eastAsia="TT Norms Pro" w:cs="TT Norms Pro"/>
        </w:rPr>
      </w:pPr>
      <w:r w:rsidRPr="00983CA1">
        <w:rPr>
          <w:rFonts w:eastAsia="TT Norms Pro" w:cs="TT Norms Pro"/>
        </w:rPr>
        <w:lastRenderedPageBreak/>
        <w:t>However, our own work indicates a broader reluctance among homeowners to take on finance in general, and particularly for home energy efficiency improvements.</w:t>
      </w:r>
      <w:r w:rsidR="00D321F4" w:rsidRPr="00720439">
        <w:rPr>
          <w:rStyle w:val="FootnoteReference"/>
          <w:rFonts w:eastAsia="TT Norms Pro" w:cs="TT Norms Pro"/>
        </w:rPr>
        <w:t xml:space="preserve"> </w:t>
      </w:r>
      <w:r w:rsidR="00D321F4" w:rsidRPr="00720439">
        <w:rPr>
          <w:rStyle w:val="FootnoteReference"/>
          <w:rFonts w:eastAsia="TT Norms Pro" w:cs="TT Norms Pro"/>
        </w:rPr>
        <w:footnoteReference w:id="48"/>
      </w:r>
      <w:r w:rsidRPr="00983CA1">
        <w:rPr>
          <w:rFonts w:eastAsia="TT Norms Pro" w:cs="TT Norms Pro"/>
        </w:rPr>
        <w:t xml:space="preserve"> This is largely because many households do not currently view retrofit as a necessity, and overall demand remains relatively low.</w:t>
      </w:r>
    </w:p>
    <w:p w14:paraId="5B2927A1" w14:textId="0EB61D4F" w:rsidR="00983CA1" w:rsidRPr="00983CA1" w:rsidRDefault="00983CA1" w:rsidP="00983CA1">
      <w:pPr>
        <w:rPr>
          <w:rFonts w:eastAsia="TT Norms Pro" w:cs="TT Norms Pro"/>
        </w:rPr>
      </w:pPr>
      <w:r w:rsidRPr="00983CA1">
        <w:rPr>
          <w:rFonts w:eastAsia="TT Norms Pro" w:cs="TT Norms Pro"/>
        </w:rPr>
        <w:t xml:space="preserve">We have previously highlighted that this presents a fundamental challenge. Even in place-based retrofit projects—such as those delivered in Leeds—where measures were offered at little or no cost, uptake </w:t>
      </w:r>
      <w:r w:rsidR="00720439">
        <w:rPr>
          <w:rFonts w:eastAsia="TT Norms Pro" w:cs="TT Norms Pro"/>
        </w:rPr>
        <w:t>for privately owned households was slow</w:t>
      </w:r>
      <w:r w:rsidRPr="00983CA1">
        <w:rPr>
          <w:rFonts w:eastAsia="TT Norms Pro" w:cs="TT Norms Pro"/>
        </w:rPr>
        <w:t>.</w:t>
      </w:r>
      <w:r w:rsidR="00720439" w:rsidRPr="00720439">
        <w:rPr>
          <w:rStyle w:val="FootnoteReference"/>
          <w:rFonts w:eastAsia="TT Norms Pro" w:cs="TT Norms Pro"/>
        </w:rPr>
        <w:footnoteReference w:id="49"/>
      </w:r>
      <w:r w:rsidRPr="00983CA1">
        <w:rPr>
          <w:rFonts w:eastAsia="TT Norms Pro" w:cs="TT Norms Pro"/>
        </w:rPr>
        <w:t xml:space="preserve"> This suggests that the barrier is not purely financial.</w:t>
      </w:r>
    </w:p>
    <w:p w14:paraId="25826484" w14:textId="552C7011" w:rsidR="00AF6044" w:rsidRPr="00720439" w:rsidRDefault="00983CA1" w:rsidP="00AF6044">
      <w:pPr>
        <w:rPr>
          <w:rStyle w:val="normaltextrun"/>
          <w:rFonts w:ascii="TT Norms Pro" w:eastAsia="TT Norms Pro" w:hAnsi="TT Norms Pro" w:cs="TT Norms Pro"/>
          <w:sz w:val="22"/>
          <w:szCs w:val="22"/>
        </w:rPr>
      </w:pPr>
      <w:r w:rsidRPr="00983CA1">
        <w:rPr>
          <w:rFonts w:eastAsia="TT Norms Pro" w:cs="TT Norms Pro"/>
        </w:rPr>
        <w:t>This is further supported by our recent research</w:t>
      </w:r>
      <w:r w:rsidR="00BB768B">
        <w:rPr>
          <w:rFonts w:eastAsia="TT Norms Pro" w:cs="TT Norms Pro"/>
        </w:rPr>
        <w:t xml:space="preserve"> on Scottish households views of</w:t>
      </w:r>
      <w:r w:rsidRPr="00983CA1">
        <w:rPr>
          <w:rFonts w:eastAsia="TT Norms Pro" w:cs="TT Norms Pro"/>
        </w:rPr>
        <w:t xml:space="preserve"> clean heating</w:t>
      </w:r>
      <w:r w:rsidR="00163C92">
        <w:rPr>
          <w:rFonts w:eastAsia="TT Norms Pro" w:cs="TT Norms Pro"/>
        </w:rPr>
        <w:t xml:space="preserve"> and a potential phase out of fossil fuel heating </w:t>
      </w:r>
      <w:r w:rsidR="002410D6">
        <w:rPr>
          <w:rFonts w:eastAsia="TT Norms Pro" w:cs="TT Norms Pro"/>
        </w:rPr>
        <w:t>in 2035. One</w:t>
      </w:r>
      <w:r w:rsidR="00BB768B">
        <w:rPr>
          <w:rFonts w:eastAsia="TT Norms Pro" w:cs="TT Norms Pro"/>
        </w:rPr>
        <w:t xml:space="preserve"> fifth</w:t>
      </w:r>
      <w:r w:rsidR="0073577C">
        <w:rPr>
          <w:rFonts w:eastAsia="TT Norms Pro" w:cs="TT Norms Pro"/>
        </w:rPr>
        <w:t xml:space="preserve"> (20%)</w:t>
      </w:r>
      <w:r w:rsidR="00BB768B">
        <w:rPr>
          <w:rFonts w:eastAsia="TT Norms Pro" w:cs="TT Norms Pro"/>
        </w:rPr>
        <w:t xml:space="preserve"> of</w:t>
      </w:r>
      <w:r w:rsidRPr="00983CA1">
        <w:rPr>
          <w:rFonts w:eastAsia="TT Norms Pro" w:cs="TT Norms Pro"/>
        </w:rPr>
        <w:t xml:space="preserve"> </w:t>
      </w:r>
      <w:r w:rsidR="00AA0331">
        <w:rPr>
          <w:rFonts w:eastAsia="TT Norms Pro" w:cs="TT Norms Pro"/>
        </w:rPr>
        <w:t>respondent</w:t>
      </w:r>
      <w:r w:rsidR="00177C83">
        <w:rPr>
          <w:rFonts w:eastAsia="TT Norms Pro" w:cs="TT Norms Pro"/>
        </w:rPr>
        <w:t>s</w:t>
      </w:r>
      <w:r w:rsidR="002410D6">
        <w:rPr>
          <w:rFonts w:eastAsia="TT Norms Pro" w:cs="TT Norms Pro"/>
        </w:rPr>
        <w:t xml:space="preserve"> either disagreed or strongly disagreed to the statement that they would </w:t>
      </w:r>
      <w:r w:rsidR="00177C83">
        <w:rPr>
          <w:rFonts w:eastAsia="TT Norms Pro" w:cs="TT Norms Pro"/>
        </w:rPr>
        <w:t xml:space="preserve"> </w:t>
      </w:r>
      <w:r w:rsidR="002410D6">
        <w:rPr>
          <w:rFonts w:eastAsia="TT Norms Pro" w:cs="TT Norms Pro"/>
        </w:rPr>
        <w:t>be</w:t>
      </w:r>
      <w:r w:rsidRPr="00983CA1">
        <w:rPr>
          <w:rFonts w:eastAsia="TT Norms Pro" w:cs="TT Norms Pro"/>
        </w:rPr>
        <w:t xml:space="preserve"> incentivised</w:t>
      </w:r>
      <w:r w:rsidR="00AA0331">
        <w:rPr>
          <w:rFonts w:eastAsia="TT Norms Pro" w:cs="TT Norms Pro"/>
        </w:rPr>
        <w:t xml:space="preserve"> to install a heat pump instead of a fossil fuel heating system</w:t>
      </w:r>
      <w:r w:rsidRPr="00983CA1">
        <w:rPr>
          <w:rFonts w:eastAsia="TT Norms Pro" w:cs="TT Norms Pro"/>
        </w:rPr>
        <w:t xml:space="preserve"> if the </w:t>
      </w:r>
      <w:r w:rsidR="00AA0331">
        <w:rPr>
          <w:rFonts w:eastAsia="TT Norms Pro" w:cs="TT Norms Pro"/>
        </w:rPr>
        <w:t xml:space="preserve">installation </w:t>
      </w:r>
      <w:r w:rsidRPr="00983CA1">
        <w:rPr>
          <w:rFonts w:eastAsia="TT Norms Pro" w:cs="TT Norms Pro"/>
        </w:rPr>
        <w:t>cost were equivalent.</w:t>
      </w:r>
      <w:r w:rsidR="00720439">
        <w:rPr>
          <w:rStyle w:val="FootnoteReference"/>
          <w:rFonts w:eastAsia="TT Norms Pro" w:cs="TT Norms Pro"/>
        </w:rPr>
        <w:footnoteReference w:id="50"/>
      </w:r>
      <w:r w:rsidRPr="00983CA1">
        <w:rPr>
          <w:rFonts w:eastAsia="TT Norms Pro" w:cs="TT Norms Pro"/>
        </w:rPr>
        <w:t xml:space="preserve"> This highlights the importance of non-financial barriers, including awareness, trust, disruption, and consumer </w:t>
      </w:r>
      <w:r w:rsidR="00601F13">
        <w:rPr>
          <w:rFonts w:eastAsia="TT Norms Pro" w:cs="TT Norms Pro"/>
        </w:rPr>
        <w:t>preferences.</w:t>
      </w:r>
      <w:r w:rsidR="00601F13">
        <w:rPr>
          <w:rStyle w:val="FootnoteReference"/>
          <w:rFonts w:eastAsia="TT Norms Pro" w:cs="TT Norms Pro"/>
        </w:rPr>
        <w:footnoteReference w:id="51"/>
      </w:r>
    </w:p>
    <w:p w14:paraId="1656DE6B" w14:textId="0E527C59" w:rsidR="00AF6044" w:rsidRPr="00720439" w:rsidRDefault="00116FCB" w:rsidP="00AF6044">
      <w:pPr>
        <w:rPr>
          <w:rStyle w:val="normaltextrun"/>
          <w:rFonts w:ascii="TT Norms Pro" w:eastAsia="TT Norms Pro" w:hAnsi="TT Norms Pro" w:cs="TT Norms Pro"/>
          <w:sz w:val="22"/>
          <w:szCs w:val="22"/>
        </w:rPr>
      </w:pPr>
      <w:r w:rsidRPr="00720439">
        <w:rPr>
          <w:rStyle w:val="normaltextrun"/>
          <w:rFonts w:ascii="TT Norms Pro" w:eastAsia="TT Norms Pro" w:hAnsi="TT Norms Pro" w:cs="TT Norms Pro"/>
          <w:sz w:val="22"/>
          <w:szCs w:val="22"/>
        </w:rPr>
        <w:t>Furthermore,</w:t>
      </w:r>
      <w:r w:rsidR="00AF6044" w:rsidRPr="00720439">
        <w:rPr>
          <w:rStyle w:val="normaltextrun"/>
          <w:rFonts w:ascii="TT Norms Pro" w:eastAsia="TT Norms Pro" w:hAnsi="TT Norms Pro" w:cs="TT Norms Pro"/>
          <w:sz w:val="22"/>
          <w:szCs w:val="22"/>
        </w:rPr>
        <w:t xml:space="preserve"> delivering such models requires significant coordination across multiple actors and funding sources, and could prove to be a large administrative issue. Activities like managing loans, assessing eligibility</w:t>
      </w:r>
      <w:r w:rsidR="006C1385">
        <w:rPr>
          <w:rStyle w:val="normaltextrun"/>
          <w:rFonts w:ascii="TT Norms Pro" w:eastAsia="TT Norms Pro" w:hAnsi="TT Norms Pro" w:cs="TT Norms Pro"/>
          <w:sz w:val="22"/>
          <w:szCs w:val="22"/>
        </w:rPr>
        <w:t xml:space="preserve">, ensuring consumer protections </w:t>
      </w:r>
      <w:r w:rsidR="00AF6044" w:rsidRPr="00720439">
        <w:rPr>
          <w:rStyle w:val="normaltextrun"/>
          <w:rFonts w:ascii="TT Norms Pro" w:eastAsia="TT Norms Pro" w:hAnsi="TT Norms Pro" w:cs="TT Norms Pro"/>
          <w:sz w:val="22"/>
          <w:szCs w:val="22"/>
        </w:rPr>
        <w:t>and coordinating funding streams sit outside the DNOs traditional responsibilities as network operators</w:t>
      </w:r>
      <w:r w:rsidR="00E3610D">
        <w:rPr>
          <w:rStyle w:val="normaltextrun"/>
          <w:rFonts w:ascii="TT Norms Pro" w:eastAsia="TT Norms Pro" w:hAnsi="TT Norms Pro" w:cs="TT Norms Pro"/>
          <w:sz w:val="22"/>
          <w:szCs w:val="22"/>
        </w:rPr>
        <w:t>. These types of functions may be better suited to a centralised administrative body such as that proposed as part of the Warm Homes Agency remit.</w:t>
      </w:r>
    </w:p>
    <w:p w14:paraId="0B54B7E0" w14:textId="77777777" w:rsidR="00F85247" w:rsidRDefault="00F85247" w:rsidP="00073F6C">
      <w:pPr>
        <w:tabs>
          <w:tab w:val="left" w:pos="1290"/>
        </w:tabs>
      </w:pPr>
    </w:p>
    <w:p w14:paraId="1AD64130" w14:textId="77777777" w:rsidR="00605836" w:rsidRPr="00605836" w:rsidRDefault="00DA56D5" w:rsidP="000064ED">
      <w:pPr>
        <w:pStyle w:val="ListParagraph"/>
        <w:numPr>
          <w:ilvl w:val="0"/>
          <w:numId w:val="15"/>
        </w:numPr>
      </w:pPr>
      <w:r w:rsidRPr="00DD5823">
        <w:rPr>
          <w:b/>
          <w:bCs/>
        </w:rPr>
        <w:t>On responsibility for installations: what are the risks and opportunities if DNO’s were responsible for installations? What are the options for partnerships and how could different responsibilities offer better outcomes?</w:t>
      </w:r>
    </w:p>
    <w:p w14:paraId="3FC8B7F2" w14:textId="2A327B23" w:rsidR="00DA56D5" w:rsidRPr="00CF57BF" w:rsidRDefault="00DA56D5" w:rsidP="00605836">
      <w:r>
        <w:t>Risks:</w:t>
      </w:r>
    </w:p>
    <w:p w14:paraId="12459D40" w14:textId="0F595F82" w:rsidR="00DA56D5" w:rsidRDefault="00DA56D5" w:rsidP="00DA56D5">
      <w:r>
        <w:t>As mentioned in one of our previous consultations, The MCS Foundation believes that DNOs</w:t>
      </w:r>
      <w:r w:rsidR="002E30E6">
        <w:t xml:space="preserve"> playing a delivery role</w:t>
      </w:r>
      <w:r>
        <w:t xml:space="preserve"> could add another level of complexity to the sector. Research suggests that the expanding role of DNOs would require significant regulatory reform, raise monopoly concerns and create new financial liabilities that would increase consumer bills.</w:t>
      </w:r>
      <w:r w:rsidRPr="4AED2359">
        <w:rPr>
          <w:rStyle w:val="FootnoteReference"/>
        </w:rPr>
        <w:footnoteReference w:id="52"/>
      </w:r>
      <w:r>
        <w:t xml:space="preserve"> Instead of being more coordinated it could lead to more fragmented efforts, inconsistency and a lack of cohesiveness. If DNOs do take on this role it is important to consider how this will exist and interact with existing schemes. There is a possibility that households may face </w:t>
      </w:r>
      <w:r>
        <w:lastRenderedPageBreak/>
        <w:t xml:space="preserve">a more complex landscape, leading to an overlapping of responsibilities or a variation of delivery models. </w:t>
      </w:r>
    </w:p>
    <w:p w14:paraId="13AE6E07" w14:textId="77777777" w:rsidR="00DA56D5" w:rsidRDefault="00DA56D5" w:rsidP="00DA56D5">
      <w:pPr>
        <w:rPr>
          <w:rFonts w:eastAsia="TT Norms Pro" w:cs="TT Norms Pro"/>
          <w:color w:val="000000" w:themeColor="text1"/>
        </w:rPr>
      </w:pPr>
      <w:r>
        <w:t>Furthermore, any expanded role requiring increased installations calls for a larger skilled workforce, able to deliver the installations. Currently, the green workforce is not large enough to equate for a place-based approach to retrofit. For example, Solar Energy UK estimates a necessary 60,000 people working in the solar industry by mid 2030s</w:t>
      </w:r>
      <w:r w:rsidRPr="4AED2359">
        <w:rPr>
          <w:rStyle w:val="FootnoteReference"/>
        </w:rPr>
        <w:footnoteReference w:id="53"/>
      </w:r>
      <w:r>
        <w:t xml:space="preserve"> and </w:t>
      </w:r>
      <w:r w:rsidRPr="4AED2359">
        <w:rPr>
          <w:rFonts w:eastAsia="TT Norms Pro" w:cs="TT Norms Pro"/>
          <w:color w:val="000000" w:themeColor="text1"/>
        </w:rPr>
        <w:t>the Heat Pump Association suggest the number of heating engineers required by the same time at 70,786 FTE qualified individuals.</w:t>
      </w:r>
      <w:r w:rsidRPr="4AED2359">
        <w:rPr>
          <w:rStyle w:val="FootnoteReference"/>
          <w:rFonts w:eastAsia="TT Norms Pro" w:cs="TT Norms Pro"/>
          <w:color w:val="000000" w:themeColor="text1"/>
        </w:rPr>
        <w:footnoteReference w:id="54"/>
      </w:r>
      <w:r w:rsidRPr="4AED2359">
        <w:rPr>
          <w:rFonts w:eastAsia="TT Norms Pro" w:cs="TT Norms Pro"/>
          <w:color w:val="000000" w:themeColor="text1"/>
        </w:rPr>
        <w:t xml:space="preserve"> This means that to supply for the proposed retrofit schemes, a scaling up of the workforce to deliver these measures is required. </w:t>
      </w:r>
    </w:p>
    <w:p w14:paraId="29EE2568" w14:textId="77777777" w:rsidR="00DA56D5" w:rsidRDefault="00DA56D5" w:rsidP="00DA56D5">
      <w:r>
        <w:t xml:space="preserve">Opportunities: </w:t>
      </w:r>
    </w:p>
    <w:p w14:paraId="301DCA11" w14:textId="1C33FF7F" w:rsidR="00DA56D5" w:rsidRPr="00F60D99" w:rsidRDefault="00DA56D5" w:rsidP="00DA56D5">
      <w:r>
        <w:t xml:space="preserve">The MCS Foundation can see some benefits to DNOs playing a more active role </w:t>
      </w:r>
      <w:r w:rsidR="00AD5B5A">
        <w:t>in supporting the delivery of LCTs</w:t>
      </w:r>
      <w:r>
        <w:t xml:space="preserve">. For example, a place-based approach to installations provides many opportunities. The main opportunity is the </w:t>
      </w:r>
      <w:r w:rsidR="000F03F0">
        <w:t>potential social</w:t>
      </w:r>
      <w:r>
        <w:t xml:space="preserve"> incentiv</w:t>
      </w:r>
      <w:r w:rsidR="000F03F0">
        <w:t>e</w:t>
      </w:r>
      <w:r>
        <w:t xml:space="preserve"> </w:t>
      </w:r>
      <w:r w:rsidR="000F03F0">
        <w:t xml:space="preserve">for </w:t>
      </w:r>
      <w:r>
        <w:t xml:space="preserve">households to switch, based on a “my neighbour is doing it, so maybe I should” mindset. Not only this, but overall costs </w:t>
      </w:r>
      <w:r w:rsidR="00E17D73">
        <w:t>could</w:t>
      </w:r>
      <w:r>
        <w:t xml:space="preserve"> be reduced due to economies of scale. This provides an extra opportunity for one-stop-shops on financing, as mentioned previously. Furthermore, research shows that stakeholders believe place-based retrofit can enable high-quality retrofit by utilising the local and tailored resources to meet the local needs.</w:t>
      </w:r>
      <w:r w:rsidRPr="4AED2359">
        <w:rPr>
          <w:rStyle w:val="FootnoteReference"/>
        </w:rPr>
        <w:footnoteReference w:id="55"/>
      </w:r>
      <w:r>
        <w:t xml:space="preserve"> However, an approach like this has not been evidenced on a large scale. As Nesta outline, this type of local, coordinated delivery programme requires proper development.</w:t>
      </w:r>
      <w:r w:rsidRPr="4AED2359">
        <w:rPr>
          <w:rStyle w:val="FootnoteReference"/>
        </w:rPr>
        <w:footnoteReference w:id="56"/>
      </w:r>
    </w:p>
    <w:p w14:paraId="2698A01F" w14:textId="77777777" w:rsidR="001A2026" w:rsidRDefault="001A2026" w:rsidP="001A2026">
      <w:r>
        <w:t xml:space="preserve">Partners: </w:t>
      </w:r>
    </w:p>
    <w:p w14:paraId="48438FF7" w14:textId="7EC17893" w:rsidR="001A2026" w:rsidRDefault="001A2026" w:rsidP="001A2026">
      <w:r>
        <w:t>As mentioned previously in the response, we suggest that</w:t>
      </w:r>
      <w:r w:rsidR="00E85B4D">
        <w:t xml:space="preserve"> if</w:t>
      </w:r>
      <w:r>
        <w:t xml:space="preserve"> DNOs </w:t>
      </w:r>
      <w:r w:rsidR="00E85B4D">
        <w:t xml:space="preserve">do move forward with new role, that they </w:t>
      </w:r>
      <w:r>
        <w:t>work alongside trusted local messengers to help raise awareness and improve confidence between consumers to assist LCT and EE measures. For example, community energy groups, local Citizens Advice, trusted brands and local authorities.  A Dutch report of district-based retrofit signals for national and local governments to align the interests of stakeholders with sustainability to achieve widespread sustainable heating systems.</w:t>
      </w:r>
      <w:r w:rsidRPr="4AED2359">
        <w:rPr>
          <w:rStyle w:val="FootnoteReference"/>
        </w:rPr>
        <w:footnoteReference w:id="57"/>
      </w:r>
      <w:r>
        <w:t xml:space="preserve"> These stakeholders include heat producers, heat suppliers, installers, renters, landlords, private homeowners and gas and electricity grid operators and suppliers.</w:t>
      </w:r>
    </w:p>
    <w:p w14:paraId="1204D9F1" w14:textId="0D9F4355" w:rsidR="004270C5" w:rsidRDefault="001A2026" w:rsidP="00AF419A">
      <w:r w:rsidRPr="00D02AD1">
        <w:t xml:space="preserve">It is crucial that households receive adequate support throughout the entire process of installations. Evidence shows that when households receive clear information, good handover, and tidy, respectful installation practices, satisfaction is high even when works </w:t>
      </w:r>
      <w:r w:rsidRPr="00D02AD1">
        <w:lastRenderedPageBreak/>
        <w:t>may be disruptive. Contrastingly, poor handover, lack of communication and damage during works produces levels of consumer dissatisfaction.</w:t>
      </w:r>
      <w:r w:rsidRPr="00D02AD1">
        <w:rPr>
          <w:rStyle w:val="FootnoteReference"/>
        </w:rPr>
        <w:footnoteReference w:id="58"/>
      </w:r>
    </w:p>
    <w:p w14:paraId="5CDE3407" w14:textId="77777777" w:rsidR="00BE5688" w:rsidRDefault="00BE5688" w:rsidP="00073F6C">
      <w:pPr>
        <w:tabs>
          <w:tab w:val="left" w:pos="1290"/>
        </w:tabs>
      </w:pPr>
    </w:p>
    <w:p w14:paraId="4370A06E" w14:textId="77777777" w:rsidR="00BE5688" w:rsidRPr="00212D35" w:rsidRDefault="00BE5688" w:rsidP="000064ED">
      <w:pPr>
        <w:pStyle w:val="ListParagraph"/>
        <w:numPr>
          <w:ilvl w:val="0"/>
          <w:numId w:val="15"/>
        </w:numPr>
        <w:rPr>
          <w:b/>
          <w:bCs/>
        </w:rPr>
      </w:pPr>
      <w:r w:rsidRPr="00212D35">
        <w:rPr>
          <w:b/>
          <w:bCs/>
        </w:rPr>
        <w:t>On ownership and control of assets: how can necessary level of network or system benefits be achieved without DNO control and ownership? Does this pose other risks and challenges, and how might these be overcome?</w:t>
      </w:r>
    </w:p>
    <w:p w14:paraId="31D72FB2" w14:textId="77777777" w:rsidR="00D77984" w:rsidRPr="00D77984" w:rsidRDefault="00D77984" w:rsidP="00D77984">
      <w:r w:rsidRPr="00D77984">
        <w:t>We agree that direct control is one form of automation, but it is not the only route to achieving network and system benefits. Automation can also be delivered through consumer-led and market-based mechanisms, including smart tariffs, home energy management systems, and app-based optimisation. These approaches can enable households to respond to price or system signals without requiring DNO ownership or direct control of assets.</w:t>
      </w:r>
    </w:p>
    <w:p w14:paraId="274D8F3D" w14:textId="4E1BF7DF" w:rsidR="00D77984" w:rsidRPr="00D77984" w:rsidRDefault="00D77984" w:rsidP="00D77984">
      <w:r w:rsidRPr="00D77984">
        <w:t>That said, we recognise that direct control is likely to be the most effective and reliable way of coordinating technologies—particularly where predictable, location-specific responses are needed to manage network constraints. From a system perspective, this may offer greater certainty in delivering network benefits.</w:t>
      </w:r>
      <w:r w:rsidR="00212D35">
        <w:rPr>
          <w:rStyle w:val="FootnoteReference"/>
        </w:rPr>
        <w:footnoteReference w:id="59"/>
      </w:r>
    </w:p>
    <w:p w14:paraId="4493F75A" w14:textId="7F68E27F" w:rsidR="00D77984" w:rsidRPr="00D05481" w:rsidRDefault="00D77984" w:rsidP="00BE5688">
      <w:r w:rsidRPr="00D77984">
        <w:t>However, there are clear social and practical challenges associated with this model. In particular, there are important questions around consumer acceptance and trust—especially whether households, and particularly vulnerable or low-income households, would be comfortable with DNOs directly controlling assets within their homes. Issues around consent, transparency and perceived loss of control will be critical.</w:t>
      </w:r>
    </w:p>
    <w:p w14:paraId="48FF0B25" w14:textId="6935A1FF" w:rsidR="00BE5688" w:rsidRDefault="00BE5688" w:rsidP="00BE5688">
      <w:r>
        <w:t>The MCS Foundation’s D</w:t>
      </w:r>
      <w:r w:rsidR="2A441C3C">
        <w:t xml:space="preserve">emand </w:t>
      </w:r>
      <w:r>
        <w:t>S</w:t>
      </w:r>
      <w:r w:rsidR="1EB20935">
        <w:t xml:space="preserve">ide </w:t>
      </w:r>
      <w:r>
        <w:t>R</w:t>
      </w:r>
      <w:r w:rsidR="46A58557">
        <w:t>esponse</w:t>
      </w:r>
      <w:r>
        <w:t xml:space="preserve"> </w:t>
      </w:r>
      <w:r w:rsidR="46A58557">
        <w:t>(DSR)</w:t>
      </w:r>
      <w:r>
        <w:t xml:space="preserve"> report</w:t>
      </w:r>
      <w:r w:rsidR="00353A3A">
        <w:rPr>
          <w:rStyle w:val="FootnoteReference"/>
        </w:rPr>
        <w:footnoteReference w:id="60"/>
      </w:r>
      <w:r>
        <w:t xml:space="preserve"> found that 27% of respondents cited “simplicity and ease of participation” (such as automatic adjustments, minimal effort) as a reason encouraging them to continue in a DSR programme. Contrastingly, 24% said they would be discouraged by the programme becoming too complex or time-consuming. However, there are a range of social, technical and structural challenges with automation as outlined by our DSR report:</w:t>
      </w:r>
    </w:p>
    <w:p w14:paraId="7B5B63D4" w14:textId="77777777" w:rsidR="00BE5688" w:rsidRDefault="00BE5688" w:rsidP="000064ED">
      <w:pPr>
        <w:pStyle w:val="ListParagraph"/>
        <w:numPr>
          <w:ilvl w:val="0"/>
          <w:numId w:val="19"/>
        </w:numPr>
      </w:pPr>
      <w:r>
        <w:t>Complexity and user confidence.</w:t>
      </w:r>
    </w:p>
    <w:p w14:paraId="7C11B09A" w14:textId="77777777" w:rsidR="00BE5688" w:rsidRDefault="00BE5688" w:rsidP="00BE5688">
      <w:r>
        <w:t xml:space="preserve">There needs to be a level of understanding from the users, for them to confidentially engage in automation. Some users cited unplugging devices or missing override features. This requires further awareness of DSR. </w:t>
      </w:r>
    </w:p>
    <w:p w14:paraId="4DB0F610" w14:textId="77777777" w:rsidR="00BE5688" w:rsidRDefault="00BE5688" w:rsidP="000064ED">
      <w:pPr>
        <w:pStyle w:val="ListParagraph"/>
        <w:numPr>
          <w:ilvl w:val="0"/>
          <w:numId w:val="18"/>
        </w:numPr>
      </w:pPr>
      <w:r>
        <w:t>Trust and data Privacy</w:t>
      </w:r>
    </w:p>
    <w:p w14:paraId="18DC8FDE" w14:textId="5C35FB36" w:rsidR="00BE5688" w:rsidRDefault="00BE5688" w:rsidP="00BE5688">
      <w:r>
        <w:lastRenderedPageBreak/>
        <w:t>Trust from energy companies and technologies appear to be of great concern for many users. Considering that DNOs already lack a consumer facing role, trust may already be reduced</w:t>
      </w:r>
      <w:r w:rsidR="00C84B7D">
        <w:t xml:space="preserve">. </w:t>
      </w:r>
    </w:p>
    <w:p w14:paraId="1372228E" w14:textId="77777777" w:rsidR="00BE5688" w:rsidRDefault="00BE5688" w:rsidP="000064ED">
      <w:pPr>
        <w:pStyle w:val="ListParagraph"/>
        <w:numPr>
          <w:ilvl w:val="0"/>
          <w:numId w:val="16"/>
        </w:numPr>
      </w:pPr>
      <w:r>
        <w:t>Control and perceived loss of agency</w:t>
      </w:r>
    </w:p>
    <w:p w14:paraId="094DF137" w14:textId="1DF3246E" w:rsidR="00B95B35" w:rsidRDefault="00BE5688" w:rsidP="00FD69D6">
      <w:r>
        <w:t>There was a reflection that social housing tenants feel they are not able to control the assets that they have, risking the idea that automation is being done to them, instead of with them. This feeling of a lack of agency from consumers may be a barrier for DNOs planning to take greater control</w:t>
      </w:r>
      <w:r w:rsidR="00731464">
        <w:t xml:space="preserve">, </w:t>
      </w:r>
      <w:r w:rsidR="00822E85">
        <w:t>especially</w:t>
      </w:r>
      <w:r w:rsidR="00731464">
        <w:t xml:space="preserve"> if the</w:t>
      </w:r>
      <w:r w:rsidR="00822E85">
        <w:t xml:space="preserve"> installations are going to be </w:t>
      </w:r>
      <w:r w:rsidR="00FD69D6">
        <w:t>focused on potentially vulnerable and</w:t>
      </w:r>
      <w:r w:rsidR="00822E85">
        <w:t xml:space="preserve"> low-income households</w:t>
      </w:r>
      <w:r>
        <w:t xml:space="preserve">. It is important that users feel they play a role and control their own energy consumption for meaningful control. </w:t>
      </w:r>
    </w:p>
    <w:p w14:paraId="34A50B6E" w14:textId="77777777" w:rsidR="00B95B35" w:rsidRDefault="00B95B35" w:rsidP="00073F6C">
      <w:pPr>
        <w:tabs>
          <w:tab w:val="left" w:pos="1290"/>
        </w:tabs>
      </w:pPr>
    </w:p>
    <w:p w14:paraId="722E6E1D" w14:textId="77777777" w:rsidR="00B95B35" w:rsidRDefault="00B95B35" w:rsidP="00B95B35">
      <w:pPr>
        <w:rPr>
          <w:b/>
          <w:bCs/>
        </w:rPr>
      </w:pPr>
      <w:r w:rsidRPr="4AED2359">
        <w:rPr>
          <w:b/>
          <w:bCs/>
        </w:rPr>
        <w:t>Q12. Do you have views on whether pilots of these approaches would be valuable? And, if so, whether the pilots should potentially include a range options across archetypes, or whether the scope should be narrowed in advance? What should be the main focus of any pilots?</w:t>
      </w:r>
    </w:p>
    <w:p w14:paraId="4E0E47B9" w14:textId="012D238E" w:rsidR="00203E49" w:rsidRDefault="00B95B35" w:rsidP="00122F60">
      <w:pPr>
        <w:rPr>
          <w:b/>
          <w:bCs/>
        </w:rPr>
      </w:pPr>
      <w:r>
        <w:t xml:space="preserve">The MCS Foundation believes that pilots would </w:t>
      </w:r>
      <w:r w:rsidR="00203E49">
        <w:t>definitely</w:t>
      </w:r>
      <w:r>
        <w:t xml:space="preserve"> be valuable to trial these approaches. Pilots across all </w:t>
      </w:r>
      <w:r w:rsidR="00203E49">
        <w:t>three options</w:t>
      </w:r>
      <w:r>
        <w:t xml:space="preserve"> would be helpful, if this is </w:t>
      </w:r>
      <w:r w:rsidR="00122F60">
        <w:t>feasible</w:t>
      </w:r>
      <w:r>
        <w:t xml:space="preserve">. It would be useful to acknowledge the challenges and successes. </w:t>
      </w:r>
    </w:p>
    <w:p w14:paraId="4DE245A4" w14:textId="77777777" w:rsidR="00203E49" w:rsidRDefault="00203E49" w:rsidP="00203E49">
      <w:pPr>
        <w:rPr>
          <w:b/>
          <w:bCs/>
        </w:rPr>
      </w:pPr>
    </w:p>
    <w:p w14:paraId="0C0EED39" w14:textId="14E26FA8" w:rsidR="00203E49" w:rsidRPr="00203E49" w:rsidRDefault="00203E49" w:rsidP="00203E49">
      <w:pPr>
        <w:rPr>
          <w:b/>
          <w:bCs/>
        </w:rPr>
      </w:pPr>
      <w:r w:rsidRPr="00203E49">
        <w:rPr>
          <w:b/>
          <w:bCs/>
        </w:rPr>
        <w:t xml:space="preserve">Q13. How could </w:t>
      </w:r>
      <w:proofErr w:type="spellStart"/>
      <w:r w:rsidRPr="00203E49">
        <w:rPr>
          <w:b/>
          <w:bCs/>
        </w:rPr>
        <w:t>iDNOs</w:t>
      </w:r>
      <w:proofErr w:type="spellEnd"/>
      <w:r w:rsidRPr="00203E49">
        <w:rPr>
          <w:b/>
          <w:bCs/>
        </w:rPr>
        <w:t xml:space="preserve"> support the proposals in this portion of the consultation?</w:t>
      </w:r>
    </w:p>
    <w:p w14:paraId="2F51DA3F" w14:textId="33AF5E01" w:rsidR="00B95B35" w:rsidRPr="00D817DB" w:rsidRDefault="00203E49" w:rsidP="000064ED">
      <w:pPr>
        <w:pStyle w:val="ListParagraph"/>
        <w:numPr>
          <w:ilvl w:val="0"/>
          <w:numId w:val="20"/>
        </w:numPr>
        <w:tabs>
          <w:tab w:val="left" w:pos="1290"/>
        </w:tabs>
      </w:pPr>
      <w:r w:rsidRPr="00203E49">
        <w:rPr>
          <w:i/>
          <w:iCs/>
        </w:rPr>
        <w:t>n/a?</w:t>
      </w:r>
    </w:p>
    <w:sectPr w:rsidR="00B95B35" w:rsidRPr="00D817DB">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FD988" w14:textId="77777777" w:rsidR="008C48AD" w:rsidRDefault="008C48AD" w:rsidP="00B94ED7">
      <w:pPr>
        <w:spacing w:after="0" w:line="240" w:lineRule="auto"/>
      </w:pPr>
      <w:r>
        <w:separator/>
      </w:r>
    </w:p>
  </w:endnote>
  <w:endnote w:type="continuationSeparator" w:id="0">
    <w:p w14:paraId="60D586D9" w14:textId="77777777" w:rsidR="008C48AD" w:rsidRDefault="008C48AD" w:rsidP="00B94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 Norms Pro">
    <w:altName w:val="Calibri"/>
    <w:panose1 w:val="020B0103030101020204"/>
    <w:charset w:val="00"/>
    <w:family w:val="swiss"/>
    <w:pitch w:val="variable"/>
    <w:sig w:usb0="A00002FF" w:usb1="5000A4F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7F4DF" w14:textId="77777777" w:rsidR="008C48AD" w:rsidRDefault="008C48AD" w:rsidP="00B94ED7">
      <w:pPr>
        <w:spacing w:after="0" w:line="240" w:lineRule="auto"/>
      </w:pPr>
      <w:r>
        <w:separator/>
      </w:r>
    </w:p>
  </w:footnote>
  <w:footnote w:type="continuationSeparator" w:id="0">
    <w:p w14:paraId="4137052F" w14:textId="77777777" w:rsidR="008C48AD" w:rsidRDefault="008C48AD" w:rsidP="00B94ED7">
      <w:pPr>
        <w:spacing w:after="0" w:line="240" w:lineRule="auto"/>
      </w:pPr>
      <w:r>
        <w:continuationSeparator/>
      </w:r>
    </w:p>
  </w:footnote>
  <w:footnote w:id="1">
    <w:p w14:paraId="58D6A85A" w14:textId="77777777" w:rsidR="00293095" w:rsidRDefault="00293095" w:rsidP="00293095">
      <w:pPr>
        <w:pStyle w:val="FootnoteText"/>
      </w:pPr>
      <w:r>
        <w:rPr>
          <w:rStyle w:val="FootnoteReference"/>
        </w:rPr>
        <w:footnoteRef/>
      </w:r>
      <w:r>
        <w:t xml:space="preserve"> </w:t>
      </w:r>
      <w:hyperlink r:id="rId1" w:history="1">
        <w:r w:rsidRPr="00C34D3F">
          <w:rPr>
            <w:rStyle w:val="Hyperlink"/>
          </w:rPr>
          <w:t>https://www.ofgem.gov.uk/sites/default/files/2025-04/ED3-Framework-Decision.pdf</w:t>
        </w:r>
      </w:hyperlink>
      <w:r>
        <w:t xml:space="preserve"> </w:t>
      </w:r>
    </w:p>
  </w:footnote>
  <w:footnote w:id="2">
    <w:p w14:paraId="3E056833" w14:textId="77777777" w:rsidR="00293095" w:rsidRDefault="00293095" w:rsidP="00293095">
      <w:pPr>
        <w:pStyle w:val="FootnoteText"/>
      </w:pPr>
      <w:r>
        <w:rPr>
          <w:rStyle w:val="FootnoteReference"/>
        </w:rPr>
        <w:footnoteRef/>
      </w:r>
      <w:r>
        <w:t xml:space="preserve"> </w:t>
      </w:r>
      <w:hyperlink r:id="rId2" w:history="1">
        <w:r w:rsidRPr="00C34D3F">
          <w:rPr>
            <w:rStyle w:val="Hyperlink"/>
          </w:rPr>
          <w:t>https://www.regen.co.uk/insights/electrification-the-local-grid-challenge</w:t>
        </w:r>
      </w:hyperlink>
      <w:r>
        <w:t xml:space="preserve"> </w:t>
      </w:r>
    </w:p>
  </w:footnote>
  <w:footnote w:id="3">
    <w:p w14:paraId="1E571234" w14:textId="3426ECE6" w:rsidR="001400F5" w:rsidRDefault="001400F5">
      <w:pPr>
        <w:pStyle w:val="FootnoteText"/>
      </w:pPr>
      <w:r>
        <w:rPr>
          <w:rStyle w:val="FootnoteReference"/>
        </w:rPr>
        <w:footnoteRef/>
      </w:r>
      <w:r>
        <w:t xml:space="preserve"> </w:t>
      </w:r>
      <w:hyperlink r:id="rId3" w:history="1">
        <w:r w:rsidR="0018044E" w:rsidRPr="00C34D3F">
          <w:rPr>
            <w:rStyle w:val="Hyperlink"/>
          </w:rPr>
          <w:t>https://ukerc.ac.uk/publications/planning-works-local-energy-planning-to-accelerate-net-zero/</w:t>
        </w:r>
      </w:hyperlink>
    </w:p>
  </w:footnote>
  <w:footnote w:id="4">
    <w:p w14:paraId="61F85D4D" w14:textId="40844A7E" w:rsidR="00DD53BE" w:rsidRDefault="00DD53BE">
      <w:pPr>
        <w:pStyle w:val="FootnoteText"/>
      </w:pPr>
      <w:r>
        <w:rPr>
          <w:rStyle w:val="FootnoteReference"/>
        </w:rPr>
        <w:footnoteRef/>
      </w:r>
      <w:r>
        <w:t xml:space="preserve"> https://www.e3g.org/wp-content/uploads/2023_07-locally-led-retrofit-report.pdf   </w:t>
      </w:r>
      <w:r w:rsidR="00037C2D">
        <w:t xml:space="preserve">- Leeds City Council example </w:t>
      </w:r>
    </w:p>
  </w:footnote>
  <w:footnote w:id="5">
    <w:p w14:paraId="321D8848" w14:textId="7737229C" w:rsidR="00757B9D" w:rsidRDefault="00757B9D">
      <w:pPr>
        <w:pStyle w:val="FootnoteText"/>
      </w:pPr>
      <w:r>
        <w:rPr>
          <w:rStyle w:val="FootnoteReference"/>
        </w:rPr>
        <w:footnoteRef/>
      </w:r>
      <w:r>
        <w:t xml:space="preserve"> </w:t>
      </w:r>
      <w:hyperlink r:id="rId4" w:history="1">
        <w:r w:rsidR="001321F2" w:rsidRPr="0038743A">
          <w:rPr>
            <w:rStyle w:val="Hyperlink"/>
          </w:rPr>
          <w:t>https://commercial.nationalgrid.co.uk/projects/equinox-equitable-novel-flexibility-exchange</w:t>
        </w:r>
      </w:hyperlink>
      <w:r w:rsidR="001321F2">
        <w:t xml:space="preserve"> </w:t>
      </w:r>
    </w:p>
  </w:footnote>
  <w:footnote w:id="6">
    <w:p w14:paraId="01A4BC7D" w14:textId="52259080" w:rsidR="00757B9D" w:rsidRDefault="00757B9D">
      <w:pPr>
        <w:pStyle w:val="FootnoteText"/>
      </w:pPr>
      <w:r>
        <w:rPr>
          <w:rStyle w:val="FootnoteReference"/>
        </w:rPr>
        <w:footnoteRef/>
      </w:r>
      <w:r>
        <w:t xml:space="preserve"> </w:t>
      </w:r>
      <w:hyperlink r:id="rId5" w:history="1">
        <w:r w:rsidR="003570AE" w:rsidRPr="0038743A">
          <w:rPr>
            <w:rStyle w:val="Hyperlink"/>
          </w:rPr>
          <w:t>https://www.nesta.org.uk/report/heatflex-the-untapped-potential-of-automated-heat-pump-flexibility/</w:t>
        </w:r>
      </w:hyperlink>
      <w:r w:rsidR="003570AE">
        <w:t xml:space="preserve"> </w:t>
      </w:r>
    </w:p>
  </w:footnote>
  <w:footnote w:id="7">
    <w:p w14:paraId="056B6158" w14:textId="289A157F" w:rsidR="00CD62F5" w:rsidRDefault="00CD62F5">
      <w:pPr>
        <w:pStyle w:val="FootnoteText"/>
      </w:pPr>
      <w:r>
        <w:rPr>
          <w:rStyle w:val="FootnoteReference"/>
        </w:rPr>
        <w:footnoteRef/>
      </w:r>
      <w:r>
        <w:t xml:space="preserve"> </w:t>
      </w:r>
      <w:hyperlink r:id="rId6" w:history="1">
        <w:r w:rsidR="00D37D55" w:rsidRPr="0038743A">
          <w:rPr>
            <w:rStyle w:val="Hyperlink"/>
          </w:rPr>
          <w:t>https://oerc.ox.ac.uk/news/managing-the-load-profile-study-shows-heat-pumps-cut-energy-use-but-increase-peak-demand</w:t>
        </w:r>
      </w:hyperlink>
      <w:r w:rsidR="00D37D55">
        <w:t xml:space="preserve"> </w:t>
      </w:r>
    </w:p>
  </w:footnote>
  <w:footnote w:id="8">
    <w:p w14:paraId="2ECDFA76" w14:textId="123479C4" w:rsidR="00882F07" w:rsidRDefault="00882F07">
      <w:pPr>
        <w:pStyle w:val="FootnoteText"/>
      </w:pPr>
      <w:r>
        <w:rPr>
          <w:rStyle w:val="FootnoteReference"/>
        </w:rPr>
        <w:footnoteRef/>
      </w:r>
      <w:r>
        <w:t xml:space="preserve"> </w:t>
      </w:r>
      <w:hyperlink r:id="rId7" w:history="1">
        <w:r w:rsidRPr="0038743A">
          <w:rPr>
            <w:rStyle w:val="Hyperlink"/>
          </w:rPr>
          <w:t>https://www.cornwall-insight.com/files/the-power-of-flex-rewarding-smarter-energy-usage-1-64ee8489.pdf</w:t>
        </w:r>
      </w:hyperlink>
      <w:r>
        <w:t xml:space="preserve"> </w:t>
      </w:r>
    </w:p>
  </w:footnote>
  <w:footnote w:id="9">
    <w:p w14:paraId="6131B7A3" w14:textId="7D6C01AD" w:rsidR="00F2044E" w:rsidRDefault="00F2044E">
      <w:pPr>
        <w:pStyle w:val="FootnoteText"/>
      </w:pPr>
      <w:r>
        <w:rPr>
          <w:rStyle w:val="FootnoteReference"/>
        </w:rPr>
        <w:footnoteRef/>
      </w:r>
      <w:r>
        <w:t xml:space="preserve"> </w:t>
      </w:r>
      <w:hyperlink r:id="rId8" w:history="1">
        <w:r w:rsidRPr="0038743A">
          <w:rPr>
            <w:rStyle w:val="Hyperlink"/>
          </w:rPr>
          <w:t>https://www.ofgem.gov.uk/sites/default/files/2022-11/RIIO-ED2%20Final%20Determinations%20Core%20Methodology.pdf</w:t>
        </w:r>
      </w:hyperlink>
      <w:r>
        <w:t xml:space="preserve"> </w:t>
      </w:r>
    </w:p>
  </w:footnote>
  <w:footnote w:id="10">
    <w:p w14:paraId="4F1CFF0E" w14:textId="7687FE86" w:rsidR="00883836" w:rsidRDefault="00883836">
      <w:pPr>
        <w:pStyle w:val="FootnoteText"/>
      </w:pPr>
      <w:r>
        <w:rPr>
          <w:rStyle w:val="FootnoteReference"/>
        </w:rPr>
        <w:footnoteRef/>
      </w:r>
      <w:r>
        <w:t xml:space="preserve"> </w:t>
      </w:r>
      <w:hyperlink r:id="rId9" w:history="1">
        <w:r w:rsidR="005B6787" w:rsidRPr="0038743A">
          <w:rPr>
            <w:rStyle w:val="Hyperlink"/>
          </w:rPr>
          <w:t>https://mcsfoundation.org.uk/wp-content/uploads/2025/08/MCSF-Engaging-households-in-DSR-Report-2025-final-1.pdf</w:t>
        </w:r>
      </w:hyperlink>
      <w:r w:rsidR="005B6787">
        <w:t xml:space="preserve"> </w:t>
      </w:r>
    </w:p>
  </w:footnote>
  <w:footnote w:id="11">
    <w:p w14:paraId="12E57B64" w14:textId="5BD1C0F3" w:rsidR="005B6787" w:rsidRDefault="005B6787">
      <w:pPr>
        <w:pStyle w:val="FootnoteText"/>
      </w:pPr>
      <w:r>
        <w:rPr>
          <w:rStyle w:val="FootnoteReference"/>
        </w:rPr>
        <w:footnoteRef/>
      </w:r>
      <w:r>
        <w:t xml:space="preserve"> </w:t>
      </w:r>
      <w:hyperlink r:id="rId10" w:history="1">
        <w:r w:rsidR="003905D7" w:rsidRPr="0038743A">
          <w:rPr>
            <w:rStyle w:val="Hyperlink"/>
          </w:rPr>
          <w:t>https://www.sciencedirect.com/science/article/pii/S2214629615300463</w:t>
        </w:r>
      </w:hyperlink>
      <w:r w:rsidR="003905D7">
        <w:t xml:space="preserve"> </w:t>
      </w:r>
    </w:p>
  </w:footnote>
  <w:footnote w:id="12">
    <w:p w14:paraId="33CA9E3C" w14:textId="1B96EBE2" w:rsidR="003905D7" w:rsidRDefault="003905D7">
      <w:pPr>
        <w:pStyle w:val="FootnoteText"/>
      </w:pPr>
      <w:r>
        <w:rPr>
          <w:rStyle w:val="FootnoteReference"/>
        </w:rPr>
        <w:footnoteRef/>
      </w:r>
      <w:r>
        <w:t xml:space="preserve"> </w:t>
      </w:r>
      <w:hyperlink r:id="rId11" w:history="1">
        <w:r w:rsidR="00DC0D25" w:rsidRPr="0038743A">
          <w:rPr>
            <w:rStyle w:val="Hyperlink"/>
          </w:rPr>
          <w:t>https://www.bi.team/publications/empowering-flexibility-unlocking-consumer-engagement-in-demand-flexibility/</w:t>
        </w:r>
      </w:hyperlink>
      <w:r w:rsidR="00DC0D25">
        <w:t xml:space="preserve"> </w:t>
      </w:r>
    </w:p>
  </w:footnote>
  <w:footnote w:id="13">
    <w:p w14:paraId="4F63D43D" w14:textId="600C2D5E" w:rsidR="000D5E9E" w:rsidRDefault="000D5E9E">
      <w:pPr>
        <w:pStyle w:val="FootnoteText"/>
      </w:pPr>
      <w:r>
        <w:rPr>
          <w:rStyle w:val="FootnoteReference"/>
        </w:rPr>
        <w:footnoteRef/>
      </w:r>
      <w:r>
        <w:t xml:space="preserve"> </w:t>
      </w:r>
      <w:hyperlink r:id="rId12" w:history="1">
        <w:r w:rsidR="003E1CA2" w:rsidRPr="0038743A">
          <w:rPr>
            <w:rStyle w:val="Hyperlink"/>
          </w:rPr>
          <w:t>https://ukerc.ac.uk/publications/planning-works-local-energy-planning-to-accelerate-net-zero/</w:t>
        </w:r>
      </w:hyperlink>
      <w:r w:rsidR="003E1CA2">
        <w:t xml:space="preserve"> </w:t>
      </w:r>
    </w:p>
  </w:footnote>
  <w:footnote w:id="14">
    <w:p w14:paraId="35928A6E" w14:textId="77777777" w:rsidR="00D817DB" w:rsidRDefault="00D817DB" w:rsidP="00D817DB">
      <w:pPr>
        <w:pStyle w:val="FootnoteText"/>
      </w:pPr>
      <w:r w:rsidRPr="32BEDF36">
        <w:rPr>
          <w:rStyle w:val="FootnoteReference"/>
        </w:rPr>
        <w:footnoteRef/>
      </w:r>
      <w:r>
        <w:t xml:space="preserve"> https://www.e3g.org/wp-content/uploads/2023_07-locally-led-retrofit-report.pdf   </w:t>
      </w:r>
    </w:p>
  </w:footnote>
  <w:footnote w:id="15">
    <w:p w14:paraId="3E245FC3" w14:textId="50BEAC5D" w:rsidR="0098245E" w:rsidRDefault="0098245E">
      <w:pPr>
        <w:pStyle w:val="FootnoteText"/>
      </w:pPr>
      <w:r>
        <w:rPr>
          <w:rStyle w:val="FootnoteReference"/>
        </w:rPr>
        <w:footnoteRef/>
      </w:r>
      <w:r>
        <w:t xml:space="preserve"> https://www.e3g.org/wp-content/uploads/2023_07-locally-led-retrofit-report.pdf    </w:t>
      </w:r>
    </w:p>
  </w:footnote>
  <w:footnote w:id="16">
    <w:p w14:paraId="24F1020E" w14:textId="7DADF284" w:rsidR="00B436D7" w:rsidRDefault="00B436D7">
      <w:pPr>
        <w:pStyle w:val="FootnoteText"/>
      </w:pPr>
      <w:r>
        <w:rPr>
          <w:rStyle w:val="FootnoteReference"/>
        </w:rPr>
        <w:footnoteRef/>
      </w:r>
      <w:r>
        <w:t xml:space="preserve"> </w:t>
      </w:r>
      <w:hyperlink r:id="rId13" w:history="1">
        <w:r w:rsidRPr="0038743A">
          <w:rPr>
            <w:rStyle w:val="Hyperlink"/>
          </w:rPr>
          <w:t>https://www.regen.co.uk/insights/end-to-end-connections-review-a-framework-for-publication-of-lct-connections-data</w:t>
        </w:r>
      </w:hyperlink>
    </w:p>
  </w:footnote>
  <w:footnote w:id="17">
    <w:p w14:paraId="0C1D067A" w14:textId="77777777" w:rsidR="007530ED" w:rsidRDefault="007530ED" w:rsidP="007530ED">
      <w:pPr>
        <w:pStyle w:val="FootnoteText"/>
      </w:pPr>
      <w:r>
        <w:rPr>
          <w:rStyle w:val="FootnoteReference"/>
        </w:rPr>
        <w:footnoteRef/>
      </w:r>
      <w:r>
        <w:t xml:space="preserve"> </w:t>
      </w:r>
      <w:hyperlink r:id="rId14" w:history="1">
        <w:r w:rsidRPr="0038743A">
          <w:rPr>
            <w:rStyle w:val="Hyperlink"/>
          </w:rPr>
          <w:t>https://www.regen.co.uk/insights/end-to-end-connections-review-a-framework-for-publication-of-lct-connections-data</w:t>
        </w:r>
      </w:hyperlink>
      <w:r>
        <w:t xml:space="preserve"> </w:t>
      </w:r>
    </w:p>
  </w:footnote>
  <w:footnote w:id="18">
    <w:p w14:paraId="51D57AF2" w14:textId="77777777" w:rsidR="00D817DB" w:rsidRDefault="00D817DB" w:rsidP="00D817DB">
      <w:pPr>
        <w:pStyle w:val="FootnoteText"/>
      </w:pPr>
      <w:r w:rsidRPr="4F9BADD1">
        <w:rPr>
          <w:rStyle w:val="FootnoteReference"/>
        </w:rPr>
        <w:footnoteRef/>
      </w:r>
      <w:r>
        <w:t xml:space="preserve"> ttps://www.e3g.org/wp-content/uploads/2023_07-locally-led-retrofit-report.pdf</w:t>
      </w:r>
    </w:p>
  </w:footnote>
  <w:footnote w:id="19">
    <w:p w14:paraId="7551D75A" w14:textId="40A46D15" w:rsidR="00357A27" w:rsidRDefault="00357A27">
      <w:pPr>
        <w:pStyle w:val="FootnoteText"/>
      </w:pPr>
      <w:r>
        <w:rPr>
          <w:rStyle w:val="FootnoteReference"/>
        </w:rPr>
        <w:footnoteRef/>
      </w:r>
      <w:r>
        <w:t xml:space="preserve"> </w:t>
      </w:r>
      <w:hyperlink r:id="rId15" w:history="1">
        <w:r w:rsidR="00560BDD" w:rsidRPr="63E0AF97">
          <w:rPr>
            <w:rStyle w:val="Hyperlink"/>
          </w:rPr>
          <w:t>https://smarter.energynetworks.org/projects/10061348/</w:t>
        </w:r>
      </w:hyperlink>
      <w:r w:rsidR="00560BDD">
        <w:t xml:space="preserve"> - within the PowerPoint documents for the discovery phase </w:t>
      </w:r>
    </w:p>
  </w:footnote>
  <w:footnote w:id="20">
    <w:p w14:paraId="2140BEEA" w14:textId="77777777" w:rsidR="001C78C1" w:rsidRDefault="001C78C1" w:rsidP="001C78C1">
      <w:pPr>
        <w:pStyle w:val="FootnoteText"/>
      </w:pPr>
      <w:r w:rsidRPr="32BEDF36">
        <w:rPr>
          <w:rStyle w:val="FootnoteReference"/>
        </w:rPr>
        <w:footnoteRef/>
      </w:r>
      <w:r>
        <w:t xml:space="preserve"> </w:t>
      </w:r>
      <w:hyperlink r:id="rId16" w:history="1">
        <w:r w:rsidRPr="32BEDF36">
          <w:rPr>
            <w:rStyle w:val="Hyperlink"/>
          </w:rPr>
          <w:t>https://www.ofgem.gov.uk/sites/default/files/2023-09/2022-23%20SECV%20Panel%20Report%20Update.pdf</w:t>
        </w:r>
      </w:hyperlink>
      <w:r>
        <w:t xml:space="preserve"> </w:t>
      </w:r>
    </w:p>
  </w:footnote>
  <w:footnote w:id="21">
    <w:p w14:paraId="4BE8E3F5" w14:textId="77777777" w:rsidR="001C78C1" w:rsidRDefault="001C78C1" w:rsidP="001C78C1">
      <w:pPr>
        <w:pStyle w:val="FootnoteText"/>
      </w:pPr>
      <w:r w:rsidRPr="32BEDF36">
        <w:rPr>
          <w:rStyle w:val="FootnoteReference"/>
        </w:rPr>
        <w:footnoteRef/>
      </w:r>
      <w:r>
        <w:t xml:space="preserve"> https://www.sciencedirect.com/science/article/abs/pii/S0959652614008361</w:t>
      </w:r>
    </w:p>
  </w:footnote>
  <w:footnote w:id="22">
    <w:p w14:paraId="407E1CC0" w14:textId="77777777" w:rsidR="001C78C1" w:rsidRDefault="001C78C1" w:rsidP="001C78C1">
      <w:pPr>
        <w:pStyle w:val="FootnoteText"/>
      </w:pPr>
      <w:r w:rsidRPr="32BEDF36">
        <w:rPr>
          <w:rStyle w:val="FootnoteReference"/>
        </w:rPr>
        <w:footnoteRef/>
      </w:r>
      <w:r>
        <w:t xml:space="preserve"> https://doi.org/10.1177/0963662510362658</w:t>
      </w:r>
    </w:p>
  </w:footnote>
  <w:footnote w:id="23">
    <w:p w14:paraId="4121B70F" w14:textId="77777777" w:rsidR="001C78C1" w:rsidRDefault="001C78C1" w:rsidP="001C78C1">
      <w:pPr>
        <w:pStyle w:val="FootnoteText"/>
      </w:pPr>
      <w:r w:rsidRPr="4AED2359">
        <w:rPr>
          <w:rStyle w:val="FootnoteReference"/>
        </w:rPr>
        <w:footnoteRef/>
      </w:r>
      <w:r>
        <w:t xml:space="preserve"> https://smarter.energynetworks.org/projects/10061348/</w:t>
      </w:r>
    </w:p>
  </w:footnote>
  <w:footnote w:id="24">
    <w:p w14:paraId="57761C10" w14:textId="0B012206" w:rsidR="0013353D" w:rsidRPr="00E9185C" w:rsidRDefault="0013353D" w:rsidP="0013353D">
      <w:pPr>
        <w:pStyle w:val="FootnoteText"/>
        <w:rPr>
          <w:sz w:val="22"/>
          <w:szCs w:val="22"/>
        </w:rPr>
      </w:pPr>
      <w:r w:rsidRPr="00E9185C">
        <w:rPr>
          <w:rStyle w:val="FootnoteReference"/>
          <w:sz w:val="22"/>
          <w:szCs w:val="22"/>
        </w:rPr>
        <w:footnoteRef/>
      </w:r>
      <w:r w:rsidR="00E9185C">
        <w:rPr>
          <w:sz w:val="22"/>
          <w:szCs w:val="22"/>
        </w:rPr>
        <w:t xml:space="preserve"> </w:t>
      </w:r>
      <w:hyperlink r:id="rId17" w:history="1">
        <w:r w:rsidR="00E9185C" w:rsidRPr="0038743A">
          <w:rPr>
            <w:rStyle w:val="Hyperlink"/>
            <w:sz w:val="22"/>
            <w:szCs w:val="22"/>
          </w:rPr>
          <w:t>https://www.e3g.org/wp-content/uploads/2023_07-locally-led-retrofit-report.pdf</w:t>
        </w:r>
      </w:hyperlink>
      <w:r w:rsidR="00E9185C">
        <w:rPr>
          <w:sz w:val="22"/>
          <w:szCs w:val="22"/>
        </w:rPr>
        <w:t xml:space="preserve"> </w:t>
      </w:r>
      <w:r w:rsidRPr="00E9185C">
        <w:rPr>
          <w:sz w:val="22"/>
          <w:szCs w:val="22"/>
        </w:rPr>
        <w:t xml:space="preserve"> </w:t>
      </w:r>
      <w:r w:rsidR="00E9185C">
        <w:rPr>
          <w:sz w:val="22"/>
          <w:szCs w:val="22"/>
        </w:rPr>
        <w:t xml:space="preserve"> </w:t>
      </w:r>
    </w:p>
  </w:footnote>
  <w:footnote w:id="25">
    <w:p w14:paraId="6D65E319" w14:textId="2245E639" w:rsidR="000B1E3F" w:rsidRDefault="000B1E3F" w:rsidP="000B1E3F">
      <w:r>
        <w:rPr>
          <w:rStyle w:val="FootnoteReference"/>
        </w:rPr>
        <w:footnoteRef/>
      </w:r>
      <w:r>
        <w:t xml:space="preserve"> </w:t>
      </w:r>
      <w:hyperlink r:id="rId18" w:history="1">
        <w:r w:rsidRPr="00C34D3F">
          <w:rPr>
            <w:rStyle w:val="Hyperlink"/>
          </w:rPr>
          <w:t>https://www.londoncouncils.gov.uk/sites/default/files/2024-05/retrofit_delivery_plan_for_london_full_report.pdf</w:t>
        </w:r>
      </w:hyperlink>
      <w:r>
        <w:t xml:space="preserve"> </w:t>
      </w:r>
    </w:p>
  </w:footnote>
  <w:footnote w:id="26">
    <w:p w14:paraId="74C7E08C" w14:textId="34E739E3" w:rsidR="008120C6" w:rsidRDefault="008120C6" w:rsidP="000D2543">
      <w:pPr>
        <w:pStyle w:val="FootnoteText"/>
      </w:pPr>
      <w:r w:rsidRPr="4AED2359">
        <w:rPr>
          <w:rStyle w:val="FootnoteReference"/>
        </w:rPr>
        <w:footnoteRef/>
      </w:r>
      <w:r>
        <w:t xml:space="preserve"> </w:t>
      </w:r>
      <w:hyperlink r:id="rId19" w:history="1">
        <w:r w:rsidR="00765DCF" w:rsidRPr="0038743A">
          <w:rPr>
            <w:rStyle w:val="Hyperlink"/>
          </w:rPr>
          <w:t>https://www.londoncouncils.gov.uk/sites/default/files/2024-05/retrofit_delivery_plan_for_london_full_report.pdf</w:t>
        </w:r>
      </w:hyperlink>
      <w:r w:rsidR="00765DCF">
        <w:t xml:space="preserve"> </w:t>
      </w:r>
    </w:p>
  </w:footnote>
  <w:footnote w:id="27">
    <w:p w14:paraId="03F2075E" w14:textId="500969BD" w:rsidR="00745677" w:rsidRDefault="00745677">
      <w:pPr>
        <w:pStyle w:val="FootnoteText"/>
      </w:pPr>
      <w:r>
        <w:rPr>
          <w:rStyle w:val="FootnoteReference"/>
        </w:rPr>
        <w:footnoteRef/>
      </w:r>
      <w:r>
        <w:t xml:space="preserve"> </w:t>
      </w:r>
      <w:hyperlink r:id="rId20" w:history="1">
        <w:r w:rsidR="002B5FD1" w:rsidRPr="0038743A">
          <w:rPr>
            <w:rStyle w:val="Hyperlink"/>
          </w:rPr>
          <w:t>https://www.ofgem.gov.uk/sites/default/files/2025-12/Enhancing%20asset%20visibility%20-%20Distribution%20Network%20Operator%20Options%20consultation.pdf</w:t>
        </w:r>
      </w:hyperlink>
      <w:r w:rsidR="002B5FD1">
        <w:t xml:space="preserve"> p.21 </w:t>
      </w:r>
    </w:p>
  </w:footnote>
  <w:footnote w:id="28">
    <w:p w14:paraId="65EF2541" w14:textId="77777777" w:rsidR="00A43747" w:rsidRDefault="00A43747" w:rsidP="000D2543">
      <w:pPr>
        <w:pStyle w:val="FootnoteText"/>
      </w:pPr>
      <w:r w:rsidRPr="777F9475">
        <w:rPr>
          <w:rStyle w:val="FootnoteReference"/>
        </w:rPr>
        <w:footnoteRef/>
      </w:r>
      <w:r w:rsidRPr="00BD1B1A">
        <w:rPr>
          <w:rStyle w:val="FootnoteReference"/>
          <w:vertAlign w:val="baseline"/>
        </w:rPr>
        <w:t>https://mcsfoundation.org.uk/projects/local-area-retrofit-accelerator-lara/</w:t>
      </w:r>
      <w:r>
        <w:t xml:space="preserve"> </w:t>
      </w:r>
    </w:p>
  </w:footnote>
  <w:footnote w:id="29">
    <w:p w14:paraId="00FCE2DB" w14:textId="77777777" w:rsidR="00A43747" w:rsidRDefault="00A43747" w:rsidP="000D2543">
      <w:pPr>
        <w:pStyle w:val="FootnoteText"/>
      </w:pPr>
      <w:r w:rsidRPr="4AED2359">
        <w:rPr>
          <w:rStyle w:val="FootnoteReference"/>
        </w:rPr>
        <w:footnoteRef/>
      </w:r>
      <w:r>
        <w:t xml:space="preserve"> https://media.nesta.org.uk/documents/Clean_heat_-_coordinating_the_switch_street_by_street.pdf</w:t>
      </w:r>
    </w:p>
  </w:footnote>
  <w:footnote w:id="30">
    <w:p w14:paraId="55357D00" w14:textId="77777777" w:rsidR="00A43747" w:rsidRDefault="00A43747" w:rsidP="000D2543">
      <w:pPr>
        <w:pStyle w:val="FootnoteText"/>
      </w:pPr>
      <w:r w:rsidRPr="777F9475">
        <w:rPr>
          <w:rStyle w:val="FootnoteReference"/>
        </w:rPr>
        <w:footnoteRef/>
      </w:r>
      <w:r>
        <w:t xml:space="preserve"> https://www.nao.org.uk/reports/energy-efficiency-installations-under-the-energy-company-obligation/</w:t>
      </w:r>
    </w:p>
  </w:footnote>
  <w:footnote w:id="31">
    <w:p w14:paraId="00094B1F" w14:textId="650EAC9B" w:rsidR="00A43747" w:rsidRDefault="00A43747" w:rsidP="000D2543">
      <w:pPr>
        <w:pStyle w:val="FootnoteText"/>
      </w:pPr>
      <w:r w:rsidRPr="777F9475">
        <w:rPr>
          <w:rStyle w:val="FootnoteReference"/>
        </w:rPr>
        <w:footnoteRef/>
      </w:r>
      <w:r>
        <w:t xml:space="preserve"> </w:t>
      </w:r>
      <w:hyperlink r:id="rId21" w:history="1">
        <w:r w:rsidR="00281AAE" w:rsidRPr="0038743A">
          <w:rPr>
            <w:rStyle w:val="Hyperlink"/>
          </w:rPr>
          <w:t>https://assets.publishing.service.gov.uk/media/6475f1685f7bb7000c7fa176/Consumer_protection_in_the_green_heating_and_insulation_sector_-_Final_report.pdf</w:t>
        </w:r>
      </w:hyperlink>
      <w:r w:rsidR="00281AAE">
        <w:t xml:space="preserve"> </w:t>
      </w:r>
    </w:p>
  </w:footnote>
  <w:footnote w:id="32">
    <w:p w14:paraId="7F938E85" w14:textId="77777777" w:rsidR="00A43747" w:rsidRDefault="00A43747" w:rsidP="000D2543">
      <w:pPr>
        <w:pStyle w:val="FootnoteText"/>
      </w:pPr>
      <w:r w:rsidRPr="777F9475">
        <w:rPr>
          <w:rStyle w:val="FootnoteReference"/>
        </w:rPr>
        <w:footnoteRef/>
      </w:r>
      <w:r>
        <w:t xml:space="preserve"> </w:t>
      </w:r>
      <w:hyperlink r:id="rId22" w:anchor="_ftn8" w:history="1">
        <w:r w:rsidRPr="777F9475">
          <w:rPr>
            <w:rStyle w:val="Hyperlink"/>
          </w:rPr>
          <w:t>HEE0080 - Evidence on Home energy efficiency and demand reduction</w:t>
        </w:r>
      </w:hyperlink>
    </w:p>
  </w:footnote>
  <w:footnote w:id="33">
    <w:p w14:paraId="6936EC06" w14:textId="77777777" w:rsidR="0041174D" w:rsidRDefault="0041174D" w:rsidP="0041174D">
      <w:pPr>
        <w:pStyle w:val="FootnoteText"/>
      </w:pPr>
      <w:r>
        <w:rPr>
          <w:rStyle w:val="FootnoteReference"/>
        </w:rPr>
        <w:footnoteRef/>
      </w:r>
      <w:r>
        <w:t xml:space="preserve"> </w:t>
      </w:r>
      <w:hyperlink r:id="rId23" w:history="1">
        <w:r w:rsidRPr="00673A95">
          <w:rPr>
            <w:rStyle w:val="Hyperlink"/>
          </w:rPr>
          <w:t>https://www.cornwall-insight.com/wp-content/uploads/2023/08/The-power-of-flex-Rewarding-smarter-energy-usage-1.pdf?utm_source=website&amp;utm_medium=website</w:t>
        </w:r>
      </w:hyperlink>
      <w:r>
        <w:t xml:space="preserve"> </w:t>
      </w:r>
    </w:p>
  </w:footnote>
  <w:footnote w:id="34">
    <w:p w14:paraId="3E9BBEB4" w14:textId="79AFF4CA" w:rsidR="00132DD6" w:rsidRDefault="00132DD6">
      <w:pPr>
        <w:pStyle w:val="FootnoteText"/>
      </w:pPr>
      <w:r>
        <w:rPr>
          <w:rStyle w:val="FootnoteReference"/>
        </w:rPr>
        <w:footnoteRef/>
      </w:r>
      <w:r>
        <w:t xml:space="preserve"> </w:t>
      </w:r>
      <w:hyperlink r:id="rId24" w:history="1">
        <w:r w:rsidR="00065DBC" w:rsidRPr="0038743A">
          <w:rPr>
            <w:rStyle w:val="Hyperlink"/>
          </w:rPr>
          <w:t>https://mcsfoundation.org.uk/wp-content/uploads/2025/08/MCSF-Engaging-households-in-DSR-Report-2025-final-1.pdf</w:t>
        </w:r>
      </w:hyperlink>
      <w:r w:rsidR="00065DBC">
        <w:t xml:space="preserve"> p.48</w:t>
      </w:r>
    </w:p>
  </w:footnote>
  <w:footnote w:id="35">
    <w:p w14:paraId="23B9C988" w14:textId="77777777" w:rsidR="00E739AF" w:rsidRDefault="00E739AF" w:rsidP="00E739AF">
      <w:pPr>
        <w:pStyle w:val="FootnoteText"/>
      </w:pPr>
      <w:r w:rsidRPr="4F9BADD1">
        <w:rPr>
          <w:rStyle w:val="FootnoteReference"/>
        </w:rPr>
        <w:footnoteRef/>
      </w:r>
      <w:r>
        <w:t xml:space="preserve"> </w:t>
      </w:r>
      <w:hyperlink r:id="rId25" w:history="1">
        <w:r w:rsidRPr="4F9BADD1">
          <w:rPr>
            <w:rStyle w:val="Hyperlink"/>
          </w:rPr>
          <w:t>Smarter Network Storage (SNS) - UKPN Innovation</w:t>
        </w:r>
      </w:hyperlink>
    </w:p>
  </w:footnote>
  <w:footnote w:id="36">
    <w:p w14:paraId="0E65AA3D" w14:textId="10B631A1" w:rsidR="0023725A" w:rsidRDefault="0023725A">
      <w:pPr>
        <w:pStyle w:val="FootnoteText"/>
      </w:pPr>
      <w:r>
        <w:rPr>
          <w:rStyle w:val="FootnoteReference"/>
        </w:rPr>
        <w:footnoteRef/>
      </w:r>
      <w:r>
        <w:t xml:space="preserve"> </w:t>
      </w:r>
      <w:hyperlink r:id="rId26" w:history="1">
        <w:r w:rsidRPr="0023725A">
          <w:rPr>
            <w:rStyle w:val="Hyperlink"/>
          </w:rPr>
          <w:t>How building characteristics affect heat pump consumption</w:t>
        </w:r>
      </w:hyperlink>
      <w:r>
        <w:t xml:space="preserve"> </w:t>
      </w:r>
    </w:p>
  </w:footnote>
  <w:footnote w:id="37">
    <w:p w14:paraId="798BC0A3" w14:textId="65614AD4" w:rsidR="003A56EF" w:rsidRDefault="003A56EF">
      <w:pPr>
        <w:pStyle w:val="FootnoteText"/>
      </w:pPr>
      <w:r>
        <w:rPr>
          <w:rStyle w:val="FootnoteReference"/>
        </w:rPr>
        <w:footnoteRef/>
      </w:r>
      <w:r>
        <w:t xml:space="preserve"> </w:t>
      </w:r>
      <w:hyperlink r:id="rId27" w:history="1">
        <w:r w:rsidRPr="0038743A">
          <w:rPr>
            <w:rStyle w:val="Hyperlink"/>
          </w:rPr>
          <w:t>https://oerc.ox.ac.uk/news/managing-the-load-profile-study-shows-heat-pumps-cut-energy-use-but-increase-peak-demand</w:t>
        </w:r>
      </w:hyperlink>
      <w:r>
        <w:t xml:space="preserve"> </w:t>
      </w:r>
    </w:p>
  </w:footnote>
  <w:footnote w:id="38">
    <w:p w14:paraId="52A10021" w14:textId="77777777" w:rsidR="00E739AF" w:rsidRDefault="00E739AF" w:rsidP="00E739AF">
      <w:pPr>
        <w:pStyle w:val="FootnoteText"/>
      </w:pPr>
      <w:r w:rsidRPr="4F9BADD1">
        <w:rPr>
          <w:rStyle w:val="FootnoteReference"/>
        </w:rPr>
        <w:footnoteRef/>
      </w:r>
      <w:r>
        <w:t xml:space="preserve"> https://media.nesta.org.uk/documents/HeatFlex_-_the_untapped_potential_of_heat_pump_flexibility.pdf</w:t>
      </w:r>
    </w:p>
  </w:footnote>
  <w:footnote w:id="39">
    <w:p w14:paraId="369A7B30" w14:textId="77777777" w:rsidR="00FE731D" w:rsidRDefault="00FE731D" w:rsidP="00FE731D">
      <w:pPr>
        <w:pStyle w:val="FootnoteText"/>
      </w:pPr>
      <w:r w:rsidRPr="4F9BADD1">
        <w:rPr>
          <w:rStyle w:val="FootnoteReference"/>
        </w:rPr>
        <w:footnoteRef/>
      </w:r>
      <w:r>
        <w:t xml:space="preserve"> </w:t>
      </w:r>
      <w:hyperlink r:id="rId28" w:history="1">
        <w:r w:rsidRPr="4F9BADD1">
          <w:rPr>
            <w:rStyle w:val="Hyperlink"/>
          </w:rPr>
          <w:t>MCSF-Engaging-households-in-DSR-Report-2025-final-1.pdf</w:t>
        </w:r>
      </w:hyperlink>
    </w:p>
  </w:footnote>
  <w:footnote w:id="40">
    <w:p w14:paraId="6D112B4D" w14:textId="77777777" w:rsidR="00AF6044" w:rsidRDefault="00AF6044" w:rsidP="00AF6044">
      <w:pPr>
        <w:pStyle w:val="FootnoteText"/>
      </w:pPr>
      <w:r w:rsidRPr="4F9BADD1">
        <w:rPr>
          <w:rStyle w:val="FootnoteReference"/>
        </w:rPr>
        <w:footnoteRef/>
      </w:r>
      <w:r>
        <w:t xml:space="preserve"> https://mcsfoundation.org.uk/campaigns/cut-the-cost/</w:t>
      </w:r>
    </w:p>
  </w:footnote>
  <w:footnote w:id="41">
    <w:p w14:paraId="46B70B21" w14:textId="77777777" w:rsidR="00AF6044" w:rsidRDefault="00AF6044" w:rsidP="004270C5">
      <w:pPr>
        <w:pStyle w:val="FootnoteText"/>
      </w:pPr>
      <w:r w:rsidRPr="4AED2359">
        <w:rPr>
          <w:rStyle w:val="FootnoteReference"/>
        </w:rPr>
        <w:footnoteRef/>
      </w:r>
      <w:r>
        <w:t xml:space="preserve"> https://mcsfoundation.org.uk/wp-content/uploads/2026/02/MCSF-Rebalancing-Electricity-Levies-in-the-UK-Report-Final.pdf</w:t>
      </w:r>
    </w:p>
  </w:footnote>
  <w:footnote w:id="42">
    <w:p w14:paraId="5AC58F28" w14:textId="77777777" w:rsidR="00EE6782" w:rsidRDefault="00EE6782" w:rsidP="00EE6782">
      <w:pPr>
        <w:pStyle w:val="FootnoteText"/>
      </w:pPr>
      <w:r w:rsidRPr="4AED2359">
        <w:rPr>
          <w:rStyle w:val="FootnoteReference"/>
        </w:rPr>
        <w:footnoteRef/>
      </w:r>
      <w:r>
        <w:t xml:space="preserve"> https://www.edfenergy.com/large-business/talk-power/blogs/blog-increased-supplier-network-costs</w:t>
      </w:r>
    </w:p>
  </w:footnote>
  <w:footnote w:id="43">
    <w:p w14:paraId="7256FBCA" w14:textId="77777777" w:rsidR="00AF6044" w:rsidRDefault="00AF6044" w:rsidP="004270C5">
      <w:pPr>
        <w:pStyle w:val="FootnoteText"/>
      </w:pPr>
      <w:r w:rsidRPr="4AED2359">
        <w:rPr>
          <w:rStyle w:val="FootnoteReference"/>
        </w:rPr>
        <w:footnoteRef/>
      </w:r>
      <w:r>
        <w:t xml:space="preserve"> https://www.gov.uk/government/publications/warm-homes-plan   </w:t>
      </w:r>
    </w:p>
  </w:footnote>
  <w:footnote w:id="44">
    <w:p w14:paraId="0E06641B" w14:textId="77777777" w:rsidR="00AF6044" w:rsidRDefault="00AF6044" w:rsidP="004270C5">
      <w:pPr>
        <w:pStyle w:val="FootnoteText"/>
      </w:pPr>
      <w:r w:rsidRPr="4AED2359">
        <w:rPr>
          <w:rStyle w:val="FootnoteReference"/>
        </w:rPr>
        <w:footnoteRef/>
      </w:r>
      <w:r>
        <w:t xml:space="preserve"> </w:t>
      </w:r>
      <w:hyperlink r:id="rId29" w:history="1">
        <w:r w:rsidRPr="4AED2359">
          <w:rPr>
            <w:rStyle w:val="Hyperlink"/>
          </w:rPr>
          <w:t>https://mcsfoundation.org.uk/wp-content/uploads/2025/06/MCSF-Attitudes-to-Retrofit-Finance-Report-2025.pdf</w:t>
        </w:r>
      </w:hyperlink>
      <w:r>
        <w:t xml:space="preserve"> </w:t>
      </w:r>
    </w:p>
  </w:footnote>
  <w:footnote w:id="45">
    <w:p w14:paraId="04FA97A9" w14:textId="25A812A1" w:rsidR="00116FCB" w:rsidRDefault="00116FCB">
      <w:pPr>
        <w:pStyle w:val="FootnoteText"/>
      </w:pPr>
      <w:r>
        <w:rPr>
          <w:rStyle w:val="FootnoteReference"/>
        </w:rPr>
        <w:footnoteRef/>
      </w:r>
      <w:r>
        <w:t xml:space="preserve"> </w:t>
      </w:r>
      <w:hyperlink r:id="rId30" w:anchor=":~:text=As%20required%20under%20FCA%20regulations,are%20allowed%20in%20this%20sector" w:history="1">
        <w:r w:rsidRPr="0038743A">
          <w:rPr>
            <w:rStyle w:val="Hyperlink"/>
          </w:rPr>
          <w:t>https://www.which.co.uk/policy-and-insight/article/financing-for-low-carbon-home-heating-azj8l9O83sXk#:~:text=As%20required%20under%20FCA%20regulations,are%20allowed%20in%20this%20sector</w:t>
        </w:r>
      </w:hyperlink>
      <w:r w:rsidRPr="00116FCB">
        <w:t>.</w:t>
      </w:r>
      <w:r>
        <w:t xml:space="preserve"> </w:t>
      </w:r>
    </w:p>
  </w:footnote>
  <w:footnote w:id="46">
    <w:p w14:paraId="69DE3A6F" w14:textId="0CCB5D29" w:rsidR="00116FCB" w:rsidRDefault="00116FCB">
      <w:pPr>
        <w:pStyle w:val="FootnoteText"/>
      </w:pPr>
      <w:r>
        <w:rPr>
          <w:rStyle w:val="FootnoteReference"/>
        </w:rPr>
        <w:footnoteRef/>
      </w:r>
      <w:r>
        <w:t xml:space="preserve"> </w:t>
      </w:r>
      <w:hyperlink r:id="rId31" w:history="1">
        <w:r w:rsidR="00D52846" w:rsidRPr="0038743A">
          <w:rPr>
            <w:rStyle w:val="Hyperlink"/>
          </w:rPr>
          <w:t>https://www.greenfinanceinstitute.com/products-solutions/property-linked-finance/</w:t>
        </w:r>
      </w:hyperlink>
      <w:r w:rsidR="00D52846">
        <w:t xml:space="preserve"> </w:t>
      </w:r>
    </w:p>
  </w:footnote>
  <w:footnote w:id="47">
    <w:p w14:paraId="31D06D3C" w14:textId="4306F3F9" w:rsidR="007C6FFD" w:rsidRDefault="007C6FFD">
      <w:pPr>
        <w:pStyle w:val="FootnoteText"/>
      </w:pPr>
      <w:r>
        <w:rPr>
          <w:rStyle w:val="FootnoteReference"/>
        </w:rPr>
        <w:footnoteRef/>
      </w:r>
      <w:r>
        <w:t xml:space="preserve"> </w:t>
      </w:r>
      <w:hyperlink r:id="rId32" w:history="1">
        <w:r w:rsidRPr="4AED2359">
          <w:rPr>
            <w:rStyle w:val="Hyperlink"/>
          </w:rPr>
          <w:t>https://mcsfoundation.org.uk/wp-content/uploads/2025/06/MCSF-Attitudes-to-Retrofit-Finance-Report-2025.pdf</w:t>
        </w:r>
      </w:hyperlink>
    </w:p>
  </w:footnote>
  <w:footnote w:id="48">
    <w:p w14:paraId="1DB09501" w14:textId="77777777" w:rsidR="00D321F4" w:rsidRDefault="00D321F4" w:rsidP="00D321F4">
      <w:pPr>
        <w:pStyle w:val="FootnoteText"/>
      </w:pPr>
      <w:r w:rsidRPr="4AED2359">
        <w:rPr>
          <w:rStyle w:val="FootnoteReference"/>
        </w:rPr>
        <w:footnoteRef/>
      </w:r>
      <w:r>
        <w:t xml:space="preserve"> </w:t>
      </w:r>
      <w:hyperlink r:id="rId33" w:history="1">
        <w:r w:rsidRPr="4AED2359">
          <w:rPr>
            <w:rStyle w:val="Hyperlink"/>
          </w:rPr>
          <w:t>https://mcsfoundation.org.uk/wp-content/uploads/2025/06/MCSF-Attitudes-to-Retrofit-Finance-Report-2025.pdf</w:t>
        </w:r>
      </w:hyperlink>
      <w:r>
        <w:t xml:space="preserve"> </w:t>
      </w:r>
    </w:p>
  </w:footnote>
  <w:footnote w:id="49">
    <w:p w14:paraId="27199F24" w14:textId="74F220D4" w:rsidR="00720439" w:rsidRDefault="00720439">
      <w:pPr>
        <w:pStyle w:val="FootnoteText"/>
      </w:pPr>
      <w:r>
        <w:rPr>
          <w:rStyle w:val="FootnoteReference"/>
        </w:rPr>
        <w:footnoteRef/>
      </w:r>
      <w:r>
        <w:t xml:space="preserve"> </w:t>
      </w:r>
      <w:r w:rsidRPr="00720439">
        <w:t>https://www.local.gov.uk/case-studies/retrofit-project-low-socio-economic-status-areas-leeds-city-council#:~:text=For%20private%20rented%20properties%2C%20the,up%20to%20a%20high%20standard.</w:t>
      </w:r>
    </w:p>
  </w:footnote>
  <w:footnote w:id="50">
    <w:p w14:paraId="39D4230C" w14:textId="5999B26B" w:rsidR="00720439" w:rsidRDefault="00720439">
      <w:pPr>
        <w:pStyle w:val="FootnoteText"/>
      </w:pPr>
      <w:r>
        <w:rPr>
          <w:rStyle w:val="FootnoteReference"/>
        </w:rPr>
        <w:footnoteRef/>
      </w:r>
      <w:r>
        <w:t xml:space="preserve"> </w:t>
      </w:r>
      <w:hyperlink r:id="rId34" w:history="1">
        <w:r w:rsidR="00BB768B" w:rsidRPr="0038743A">
          <w:rPr>
            <w:rStyle w:val="Hyperlink"/>
          </w:rPr>
          <w:t>https://mcsfoundation.org.uk/wp-content/uploads/2026/01/MCSF-Scotland-Survey-Report-2025-FINAL.pdf</w:t>
        </w:r>
      </w:hyperlink>
      <w:r w:rsidR="00BB768B">
        <w:t xml:space="preserve"> </w:t>
      </w:r>
      <w:r w:rsidR="00AA0331">
        <w:t>p.14</w:t>
      </w:r>
    </w:p>
  </w:footnote>
  <w:footnote w:id="51">
    <w:p w14:paraId="1E712260" w14:textId="462D1477" w:rsidR="00601F13" w:rsidRDefault="00601F13">
      <w:pPr>
        <w:pStyle w:val="FootnoteText"/>
      </w:pPr>
      <w:r>
        <w:rPr>
          <w:rStyle w:val="FootnoteReference"/>
        </w:rPr>
        <w:footnoteRef/>
      </w:r>
      <w:r>
        <w:t xml:space="preserve"> </w:t>
      </w:r>
      <w:hyperlink r:id="rId35" w:history="1">
        <w:r w:rsidR="00CC369A" w:rsidRPr="0038743A">
          <w:rPr>
            <w:rStyle w:val="Hyperlink"/>
          </w:rPr>
          <w:t>https://mcsfoundation.org.uk/news/beyond-bills-new-report-reveals-homeowners-motivations-for-energy-efficiency-upgrades-2/</w:t>
        </w:r>
      </w:hyperlink>
      <w:r w:rsidR="00CC369A">
        <w:t xml:space="preserve"> </w:t>
      </w:r>
    </w:p>
  </w:footnote>
  <w:footnote w:id="52">
    <w:p w14:paraId="01DDCC5D" w14:textId="77777777" w:rsidR="00DA56D5" w:rsidRDefault="00DA56D5" w:rsidP="003E05F1">
      <w:pPr>
        <w:pStyle w:val="FootnoteText"/>
      </w:pPr>
      <w:r w:rsidRPr="4AED2359">
        <w:rPr>
          <w:rStyle w:val="FootnoteReference"/>
        </w:rPr>
        <w:footnoteRef/>
      </w:r>
      <w:r>
        <w:t xml:space="preserve"> https://www.nesta.org.uk/project-updates/could-dnos-play-a-greater-role-in-the-heat-transition/</w:t>
      </w:r>
    </w:p>
  </w:footnote>
  <w:footnote w:id="53">
    <w:p w14:paraId="34F5CBA0" w14:textId="77777777" w:rsidR="00DA56D5" w:rsidRDefault="00DA56D5" w:rsidP="003E05F1">
      <w:pPr>
        <w:pStyle w:val="FootnoteText"/>
      </w:pPr>
      <w:r w:rsidRPr="4AED2359">
        <w:rPr>
          <w:rStyle w:val="FootnoteReference"/>
        </w:rPr>
        <w:footnoteRef/>
      </w:r>
      <w:r>
        <w:t xml:space="preserve"> https://solarenergyuk.org/wp-content/uploads/2023/03/Be-part-of-a-brighter-future-E-Booklet.pdf   </w:t>
      </w:r>
    </w:p>
  </w:footnote>
  <w:footnote w:id="54">
    <w:p w14:paraId="549189AD" w14:textId="77777777" w:rsidR="00DA56D5" w:rsidRDefault="00DA56D5" w:rsidP="003E05F1">
      <w:pPr>
        <w:pStyle w:val="FootnoteText"/>
      </w:pPr>
      <w:r w:rsidRPr="4AED2359">
        <w:rPr>
          <w:rStyle w:val="FootnoteReference"/>
        </w:rPr>
        <w:footnoteRef/>
      </w:r>
      <w:r>
        <w:t xml:space="preserve"> https://www.heatpumps.org.uk/wp-content/uploads/2024/11/HPA-Projecting-the-Future-Domestic-Heat-Pump-Workforce-Report.pdf   </w:t>
      </w:r>
    </w:p>
  </w:footnote>
  <w:footnote w:id="55">
    <w:p w14:paraId="6E5B8670" w14:textId="77777777" w:rsidR="00DA56D5" w:rsidRDefault="00DA56D5" w:rsidP="003E05F1">
      <w:pPr>
        <w:pStyle w:val="FootnoteText"/>
      </w:pPr>
      <w:r w:rsidRPr="4AED2359">
        <w:rPr>
          <w:rStyle w:val="FootnoteReference"/>
        </w:rPr>
        <w:footnoteRef/>
      </w:r>
      <w:r>
        <w:t xml:space="preserve"> https://nationalretrofithub.org.uk/wp-content/uploads/2026/02/Understanding-Place-Based-Retrofit-February-2026.pdf</w:t>
      </w:r>
    </w:p>
  </w:footnote>
  <w:footnote w:id="56">
    <w:p w14:paraId="484179A9" w14:textId="77777777" w:rsidR="00DA56D5" w:rsidRDefault="00DA56D5" w:rsidP="003E05F1">
      <w:pPr>
        <w:pStyle w:val="FootnoteText"/>
      </w:pPr>
      <w:r w:rsidRPr="4AED2359">
        <w:rPr>
          <w:rStyle w:val="FootnoteReference"/>
        </w:rPr>
        <w:footnoteRef/>
      </w:r>
      <w:r>
        <w:t xml:space="preserve"> </w:t>
      </w:r>
      <w:hyperlink r:id="rId36" w:history="1">
        <w:r w:rsidRPr="4AED2359">
          <w:rPr>
            <w:rStyle w:val="Hyperlink"/>
            <w:rFonts w:eastAsia="TT Norms Pro" w:cs="TT Norms Pro"/>
          </w:rPr>
          <w:t>https://media.nesta.org.uk/documents/Clean_heat_-_coordinating_the_switch_street_by_street.pdf</w:t>
        </w:r>
      </w:hyperlink>
    </w:p>
  </w:footnote>
  <w:footnote w:id="57">
    <w:p w14:paraId="32391C60" w14:textId="77777777" w:rsidR="001A2026" w:rsidRDefault="001A2026" w:rsidP="003E05F1">
      <w:pPr>
        <w:pStyle w:val="FootnoteText"/>
      </w:pPr>
      <w:r w:rsidRPr="4AED2359">
        <w:rPr>
          <w:rStyle w:val="FootnoteReference"/>
        </w:rPr>
        <w:footnoteRef/>
      </w:r>
      <w:r w:rsidRPr="00122F60">
        <w:rPr>
          <w:rStyle w:val="FootnoteReference"/>
          <w:vertAlign w:val="baseline"/>
        </w:rPr>
        <w:t>https://ce.nl/wp-content/uploads/2022/04/CE_Delft_210381_The_natural_gas_phase-out_in_the_Netherlands_DEF.pdf</w:t>
      </w:r>
      <w:r>
        <w:t xml:space="preserve"> </w:t>
      </w:r>
    </w:p>
  </w:footnote>
  <w:footnote w:id="58">
    <w:p w14:paraId="54025E26" w14:textId="77777777" w:rsidR="001A2026" w:rsidRDefault="001A2026" w:rsidP="003E05F1">
      <w:pPr>
        <w:pStyle w:val="FootnoteText"/>
      </w:pPr>
      <w:r w:rsidRPr="4AED2359">
        <w:rPr>
          <w:rStyle w:val="FootnoteReference"/>
        </w:rPr>
        <w:footnoteRef/>
      </w:r>
      <w:r>
        <w:t xml:space="preserve"> https://assets.publishing.service.gov.uk/media/653f8705d10f3500139a6b2f/eco-evaluation-phases-2t-3.pdf</w:t>
      </w:r>
    </w:p>
  </w:footnote>
  <w:footnote w:id="59">
    <w:p w14:paraId="22010D7D" w14:textId="45D478B4" w:rsidR="00212D35" w:rsidRDefault="00212D35">
      <w:pPr>
        <w:pStyle w:val="FootnoteText"/>
      </w:pPr>
      <w:r>
        <w:rPr>
          <w:rStyle w:val="FootnoteReference"/>
        </w:rPr>
        <w:footnoteRef/>
      </w:r>
      <w:r>
        <w:t xml:space="preserve"> </w:t>
      </w:r>
      <w:hyperlink r:id="rId37" w:history="1">
        <w:r w:rsidR="00C81FAB" w:rsidRPr="0038743A">
          <w:rPr>
            <w:rStyle w:val="Hyperlink"/>
          </w:rPr>
          <w:t>https://www.sciencedirect.com/science/article/abs/pii/S0016718514000931?casa_token=ojxZF95lgEwAAAAA:JDIA3vk6WaIB7xdVWYX7Y0e0JO0IYTQex8yVzwW-QFTZMiXMn7iK4BllEeXdB7l4-Gc0V25wpQ</w:t>
        </w:r>
      </w:hyperlink>
      <w:r w:rsidR="00C81FAB">
        <w:t xml:space="preserve"> </w:t>
      </w:r>
    </w:p>
  </w:footnote>
  <w:footnote w:id="60">
    <w:p w14:paraId="589EA509" w14:textId="5212FE03" w:rsidR="00353A3A" w:rsidRDefault="00353A3A">
      <w:pPr>
        <w:pStyle w:val="FootnoteText"/>
      </w:pPr>
      <w:r>
        <w:rPr>
          <w:rStyle w:val="FootnoteReference"/>
        </w:rPr>
        <w:footnoteRef/>
      </w:r>
      <w:r>
        <w:t xml:space="preserve"> </w:t>
      </w:r>
      <w:hyperlink r:id="rId38" w:history="1">
        <w:r w:rsidR="00F2799C" w:rsidRPr="0038743A">
          <w:rPr>
            <w:rStyle w:val="Hyperlink"/>
          </w:rPr>
          <w:t>https://mcsfoundation.org.uk/wp-content/uploads/2025/08/MCSF-Engaging-households-in-DSR-Report-2025-final-1.pdf</w:t>
        </w:r>
      </w:hyperlink>
      <w:r w:rsidR="00F2799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EA473" w14:textId="261A3626" w:rsidR="00B94ED7" w:rsidRDefault="00B94ED7">
    <w:pPr>
      <w:pStyle w:val="Header"/>
    </w:pPr>
    <w:r>
      <w:rPr>
        <w:rStyle w:val="wacimagecontainer"/>
        <w:noProof/>
      </w:rPr>
      <w:drawing>
        <wp:inline distT="0" distB="0" distL="0" distR="0" wp14:anchorId="2A765423" wp14:editId="188692D1">
          <wp:extent cx="1882775" cy="415290"/>
          <wp:effectExtent l="0" t="0" r="3175" b="3810"/>
          <wp:docPr id="962377637" name="Picture 962377637"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lose up of a sig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82775" cy="415290"/>
                  </a:xfrm>
                  <a:prstGeom prst="rect">
                    <a:avLst/>
                  </a:prstGeom>
                  <a:noFill/>
                  <a:ln>
                    <a:noFill/>
                  </a:ln>
                </pic:spPr>
              </pic:pic>
            </a:graphicData>
          </a:graphic>
        </wp:inline>
      </w:drawing>
    </w:r>
    <w:r>
      <w:t xml:space="preserve">                                                                                 April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D1ECD"/>
    <w:multiLevelType w:val="hybridMultilevel"/>
    <w:tmpl w:val="EBB07E5C"/>
    <w:lvl w:ilvl="0" w:tplc="12F6B498">
      <w:start w:val="1"/>
      <w:numFmt w:val="bullet"/>
      <w:lvlText w:val=""/>
      <w:lvlJc w:val="left"/>
      <w:pPr>
        <w:ind w:left="720" w:hanging="360"/>
      </w:pPr>
      <w:rPr>
        <w:rFonts w:ascii="Symbol" w:hAnsi="Symbol" w:hint="default"/>
      </w:rPr>
    </w:lvl>
    <w:lvl w:ilvl="1" w:tplc="9CEEC250">
      <w:start w:val="1"/>
      <w:numFmt w:val="bullet"/>
      <w:lvlText w:val="o"/>
      <w:lvlJc w:val="left"/>
      <w:pPr>
        <w:ind w:left="1440" w:hanging="360"/>
      </w:pPr>
      <w:rPr>
        <w:rFonts w:ascii="Courier New" w:hAnsi="Courier New" w:hint="default"/>
      </w:rPr>
    </w:lvl>
    <w:lvl w:ilvl="2" w:tplc="24CCEB76">
      <w:start w:val="1"/>
      <w:numFmt w:val="bullet"/>
      <w:lvlText w:val=""/>
      <w:lvlJc w:val="left"/>
      <w:pPr>
        <w:ind w:left="2160" w:hanging="360"/>
      </w:pPr>
      <w:rPr>
        <w:rFonts w:ascii="Wingdings" w:hAnsi="Wingdings" w:hint="default"/>
      </w:rPr>
    </w:lvl>
    <w:lvl w:ilvl="3" w:tplc="ABCC34A4">
      <w:start w:val="1"/>
      <w:numFmt w:val="bullet"/>
      <w:lvlText w:val=""/>
      <w:lvlJc w:val="left"/>
      <w:pPr>
        <w:ind w:left="2880" w:hanging="360"/>
      </w:pPr>
      <w:rPr>
        <w:rFonts w:ascii="Symbol" w:hAnsi="Symbol" w:hint="default"/>
      </w:rPr>
    </w:lvl>
    <w:lvl w:ilvl="4" w:tplc="CBDE8DB0">
      <w:start w:val="1"/>
      <w:numFmt w:val="bullet"/>
      <w:lvlText w:val="o"/>
      <w:lvlJc w:val="left"/>
      <w:pPr>
        <w:ind w:left="3600" w:hanging="360"/>
      </w:pPr>
      <w:rPr>
        <w:rFonts w:ascii="Courier New" w:hAnsi="Courier New" w:hint="default"/>
      </w:rPr>
    </w:lvl>
    <w:lvl w:ilvl="5" w:tplc="FD58D396">
      <w:start w:val="1"/>
      <w:numFmt w:val="bullet"/>
      <w:lvlText w:val=""/>
      <w:lvlJc w:val="left"/>
      <w:pPr>
        <w:ind w:left="4320" w:hanging="360"/>
      </w:pPr>
      <w:rPr>
        <w:rFonts w:ascii="Wingdings" w:hAnsi="Wingdings" w:hint="default"/>
      </w:rPr>
    </w:lvl>
    <w:lvl w:ilvl="6" w:tplc="CD282B22">
      <w:start w:val="1"/>
      <w:numFmt w:val="bullet"/>
      <w:lvlText w:val=""/>
      <w:lvlJc w:val="left"/>
      <w:pPr>
        <w:ind w:left="5040" w:hanging="360"/>
      </w:pPr>
      <w:rPr>
        <w:rFonts w:ascii="Symbol" w:hAnsi="Symbol" w:hint="default"/>
      </w:rPr>
    </w:lvl>
    <w:lvl w:ilvl="7" w:tplc="14BE16D0">
      <w:start w:val="1"/>
      <w:numFmt w:val="bullet"/>
      <w:lvlText w:val="o"/>
      <w:lvlJc w:val="left"/>
      <w:pPr>
        <w:ind w:left="5760" w:hanging="360"/>
      </w:pPr>
      <w:rPr>
        <w:rFonts w:ascii="Courier New" w:hAnsi="Courier New" w:hint="default"/>
      </w:rPr>
    </w:lvl>
    <w:lvl w:ilvl="8" w:tplc="AEA4685C">
      <w:start w:val="1"/>
      <w:numFmt w:val="bullet"/>
      <w:lvlText w:val=""/>
      <w:lvlJc w:val="left"/>
      <w:pPr>
        <w:ind w:left="6480" w:hanging="360"/>
      </w:pPr>
      <w:rPr>
        <w:rFonts w:ascii="Wingdings" w:hAnsi="Wingdings" w:hint="default"/>
      </w:rPr>
    </w:lvl>
  </w:abstractNum>
  <w:abstractNum w:abstractNumId="1" w15:restartNumberingAfterBreak="0">
    <w:nsid w:val="1A32732D"/>
    <w:multiLevelType w:val="hybridMultilevel"/>
    <w:tmpl w:val="BD4A79D6"/>
    <w:lvl w:ilvl="0" w:tplc="6346F744">
      <w:start w:val="1"/>
      <w:numFmt w:val="decimal"/>
      <w:lvlText w:val="%1."/>
      <w:lvlJc w:val="left"/>
      <w:pPr>
        <w:ind w:left="720" w:hanging="360"/>
      </w:pPr>
    </w:lvl>
    <w:lvl w:ilvl="1" w:tplc="A56A809C">
      <w:start w:val="1"/>
      <w:numFmt w:val="lowerLetter"/>
      <w:lvlText w:val="%2."/>
      <w:lvlJc w:val="left"/>
      <w:pPr>
        <w:ind w:left="1440" w:hanging="360"/>
      </w:pPr>
    </w:lvl>
    <w:lvl w:ilvl="2" w:tplc="426ED3F4">
      <w:start w:val="1"/>
      <w:numFmt w:val="lowerRoman"/>
      <w:lvlText w:val="%3."/>
      <w:lvlJc w:val="right"/>
      <w:pPr>
        <w:ind w:left="2160" w:hanging="180"/>
      </w:pPr>
    </w:lvl>
    <w:lvl w:ilvl="3" w:tplc="F258D250">
      <w:start w:val="1"/>
      <w:numFmt w:val="decimal"/>
      <w:lvlText w:val="%4."/>
      <w:lvlJc w:val="left"/>
      <w:pPr>
        <w:ind w:left="2880" w:hanging="360"/>
      </w:pPr>
    </w:lvl>
    <w:lvl w:ilvl="4" w:tplc="C9101AB8">
      <w:start w:val="1"/>
      <w:numFmt w:val="lowerLetter"/>
      <w:lvlText w:val="%5."/>
      <w:lvlJc w:val="left"/>
      <w:pPr>
        <w:ind w:left="3600" w:hanging="360"/>
      </w:pPr>
    </w:lvl>
    <w:lvl w:ilvl="5" w:tplc="8DAA1980">
      <w:start w:val="1"/>
      <w:numFmt w:val="lowerRoman"/>
      <w:lvlText w:val="%6."/>
      <w:lvlJc w:val="right"/>
      <w:pPr>
        <w:ind w:left="4320" w:hanging="180"/>
      </w:pPr>
    </w:lvl>
    <w:lvl w:ilvl="6" w:tplc="ADC855CA">
      <w:start w:val="1"/>
      <w:numFmt w:val="decimal"/>
      <w:lvlText w:val="%7."/>
      <w:lvlJc w:val="left"/>
      <w:pPr>
        <w:ind w:left="5040" w:hanging="360"/>
      </w:pPr>
    </w:lvl>
    <w:lvl w:ilvl="7" w:tplc="9102A7E2">
      <w:start w:val="1"/>
      <w:numFmt w:val="lowerLetter"/>
      <w:lvlText w:val="%8."/>
      <w:lvlJc w:val="left"/>
      <w:pPr>
        <w:ind w:left="5760" w:hanging="360"/>
      </w:pPr>
    </w:lvl>
    <w:lvl w:ilvl="8" w:tplc="35C658C4">
      <w:start w:val="1"/>
      <w:numFmt w:val="lowerRoman"/>
      <w:lvlText w:val="%9."/>
      <w:lvlJc w:val="right"/>
      <w:pPr>
        <w:ind w:left="6480" w:hanging="180"/>
      </w:pPr>
    </w:lvl>
  </w:abstractNum>
  <w:abstractNum w:abstractNumId="2" w15:restartNumberingAfterBreak="0">
    <w:nsid w:val="1B515DDC"/>
    <w:multiLevelType w:val="hybridMultilevel"/>
    <w:tmpl w:val="FFA85682"/>
    <w:lvl w:ilvl="0" w:tplc="32AE9484">
      <w:start w:val="1"/>
      <w:numFmt w:val="bullet"/>
      <w:lvlText w:val=""/>
      <w:lvlJc w:val="left"/>
      <w:pPr>
        <w:ind w:left="720" w:hanging="360"/>
      </w:pPr>
      <w:rPr>
        <w:rFonts w:ascii="Symbol" w:hAnsi="Symbol" w:hint="default"/>
      </w:rPr>
    </w:lvl>
    <w:lvl w:ilvl="1" w:tplc="39C0DC34">
      <w:start w:val="1"/>
      <w:numFmt w:val="bullet"/>
      <w:lvlText w:val="o"/>
      <w:lvlJc w:val="left"/>
      <w:pPr>
        <w:ind w:left="1440" w:hanging="360"/>
      </w:pPr>
      <w:rPr>
        <w:rFonts w:ascii="Courier New" w:hAnsi="Courier New" w:hint="default"/>
      </w:rPr>
    </w:lvl>
    <w:lvl w:ilvl="2" w:tplc="33103ECE">
      <w:start w:val="1"/>
      <w:numFmt w:val="bullet"/>
      <w:lvlText w:val=""/>
      <w:lvlJc w:val="left"/>
      <w:pPr>
        <w:ind w:left="2160" w:hanging="360"/>
      </w:pPr>
      <w:rPr>
        <w:rFonts w:ascii="Wingdings" w:hAnsi="Wingdings" w:hint="default"/>
      </w:rPr>
    </w:lvl>
    <w:lvl w:ilvl="3" w:tplc="C3E00902">
      <w:start w:val="1"/>
      <w:numFmt w:val="bullet"/>
      <w:lvlText w:val=""/>
      <w:lvlJc w:val="left"/>
      <w:pPr>
        <w:ind w:left="2880" w:hanging="360"/>
      </w:pPr>
      <w:rPr>
        <w:rFonts w:ascii="Symbol" w:hAnsi="Symbol" w:hint="default"/>
      </w:rPr>
    </w:lvl>
    <w:lvl w:ilvl="4" w:tplc="D17C02D4">
      <w:start w:val="1"/>
      <w:numFmt w:val="bullet"/>
      <w:lvlText w:val="o"/>
      <w:lvlJc w:val="left"/>
      <w:pPr>
        <w:ind w:left="3600" w:hanging="360"/>
      </w:pPr>
      <w:rPr>
        <w:rFonts w:ascii="Courier New" w:hAnsi="Courier New" w:hint="default"/>
      </w:rPr>
    </w:lvl>
    <w:lvl w:ilvl="5" w:tplc="D9C26A3E">
      <w:start w:val="1"/>
      <w:numFmt w:val="bullet"/>
      <w:lvlText w:val=""/>
      <w:lvlJc w:val="left"/>
      <w:pPr>
        <w:ind w:left="4320" w:hanging="360"/>
      </w:pPr>
      <w:rPr>
        <w:rFonts w:ascii="Wingdings" w:hAnsi="Wingdings" w:hint="default"/>
      </w:rPr>
    </w:lvl>
    <w:lvl w:ilvl="6" w:tplc="304ACB7A">
      <w:start w:val="1"/>
      <w:numFmt w:val="bullet"/>
      <w:lvlText w:val=""/>
      <w:lvlJc w:val="left"/>
      <w:pPr>
        <w:ind w:left="5040" w:hanging="360"/>
      </w:pPr>
      <w:rPr>
        <w:rFonts w:ascii="Symbol" w:hAnsi="Symbol" w:hint="default"/>
      </w:rPr>
    </w:lvl>
    <w:lvl w:ilvl="7" w:tplc="7E2E321C">
      <w:start w:val="1"/>
      <w:numFmt w:val="bullet"/>
      <w:lvlText w:val="o"/>
      <w:lvlJc w:val="left"/>
      <w:pPr>
        <w:ind w:left="5760" w:hanging="360"/>
      </w:pPr>
      <w:rPr>
        <w:rFonts w:ascii="Courier New" w:hAnsi="Courier New" w:hint="default"/>
      </w:rPr>
    </w:lvl>
    <w:lvl w:ilvl="8" w:tplc="CC7C31A4">
      <w:start w:val="1"/>
      <w:numFmt w:val="bullet"/>
      <w:lvlText w:val=""/>
      <w:lvlJc w:val="left"/>
      <w:pPr>
        <w:ind w:left="6480" w:hanging="360"/>
      </w:pPr>
      <w:rPr>
        <w:rFonts w:ascii="Wingdings" w:hAnsi="Wingdings" w:hint="default"/>
      </w:rPr>
    </w:lvl>
  </w:abstractNum>
  <w:abstractNum w:abstractNumId="3" w15:restartNumberingAfterBreak="0">
    <w:nsid w:val="205F5B09"/>
    <w:multiLevelType w:val="hybridMultilevel"/>
    <w:tmpl w:val="F2204A9A"/>
    <w:lvl w:ilvl="0" w:tplc="790C326C">
      <w:start w:val="1"/>
      <w:numFmt w:val="bullet"/>
      <w:lvlText w:val=""/>
      <w:lvlJc w:val="left"/>
      <w:pPr>
        <w:ind w:left="720" w:hanging="360"/>
      </w:pPr>
      <w:rPr>
        <w:rFonts w:ascii="Symbol" w:hAnsi="Symbol" w:hint="default"/>
      </w:rPr>
    </w:lvl>
    <w:lvl w:ilvl="1" w:tplc="AC3AAFFA">
      <w:start w:val="1"/>
      <w:numFmt w:val="bullet"/>
      <w:lvlText w:val="o"/>
      <w:lvlJc w:val="left"/>
      <w:pPr>
        <w:ind w:left="1440" w:hanging="360"/>
      </w:pPr>
      <w:rPr>
        <w:rFonts w:ascii="Courier New" w:hAnsi="Courier New" w:hint="default"/>
      </w:rPr>
    </w:lvl>
    <w:lvl w:ilvl="2" w:tplc="ABA8BFD4">
      <w:start w:val="1"/>
      <w:numFmt w:val="bullet"/>
      <w:lvlText w:val=""/>
      <w:lvlJc w:val="left"/>
      <w:pPr>
        <w:ind w:left="2160" w:hanging="360"/>
      </w:pPr>
      <w:rPr>
        <w:rFonts w:ascii="Wingdings" w:hAnsi="Wingdings" w:hint="default"/>
      </w:rPr>
    </w:lvl>
    <w:lvl w:ilvl="3" w:tplc="E454EFE8">
      <w:start w:val="1"/>
      <w:numFmt w:val="bullet"/>
      <w:lvlText w:val=""/>
      <w:lvlJc w:val="left"/>
      <w:pPr>
        <w:ind w:left="2880" w:hanging="360"/>
      </w:pPr>
      <w:rPr>
        <w:rFonts w:ascii="Symbol" w:hAnsi="Symbol" w:hint="default"/>
      </w:rPr>
    </w:lvl>
    <w:lvl w:ilvl="4" w:tplc="503A3D98">
      <w:start w:val="1"/>
      <w:numFmt w:val="bullet"/>
      <w:lvlText w:val="o"/>
      <w:lvlJc w:val="left"/>
      <w:pPr>
        <w:ind w:left="3600" w:hanging="360"/>
      </w:pPr>
      <w:rPr>
        <w:rFonts w:ascii="Courier New" w:hAnsi="Courier New" w:hint="default"/>
      </w:rPr>
    </w:lvl>
    <w:lvl w:ilvl="5" w:tplc="513CC938">
      <w:start w:val="1"/>
      <w:numFmt w:val="bullet"/>
      <w:lvlText w:val=""/>
      <w:lvlJc w:val="left"/>
      <w:pPr>
        <w:ind w:left="4320" w:hanging="360"/>
      </w:pPr>
      <w:rPr>
        <w:rFonts w:ascii="Wingdings" w:hAnsi="Wingdings" w:hint="default"/>
      </w:rPr>
    </w:lvl>
    <w:lvl w:ilvl="6" w:tplc="0DCCCF58">
      <w:start w:val="1"/>
      <w:numFmt w:val="bullet"/>
      <w:lvlText w:val=""/>
      <w:lvlJc w:val="left"/>
      <w:pPr>
        <w:ind w:left="5040" w:hanging="360"/>
      </w:pPr>
      <w:rPr>
        <w:rFonts w:ascii="Symbol" w:hAnsi="Symbol" w:hint="default"/>
      </w:rPr>
    </w:lvl>
    <w:lvl w:ilvl="7" w:tplc="0FB29076">
      <w:start w:val="1"/>
      <w:numFmt w:val="bullet"/>
      <w:lvlText w:val="o"/>
      <w:lvlJc w:val="left"/>
      <w:pPr>
        <w:ind w:left="5760" w:hanging="360"/>
      </w:pPr>
      <w:rPr>
        <w:rFonts w:ascii="Courier New" w:hAnsi="Courier New" w:hint="default"/>
      </w:rPr>
    </w:lvl>
    <w:lvl w:ilvl="8" w:tplc="7A5C967E">
      <w:start w:val="1"/>
      <w:numFmt w:val="bullet"/>
      <w:lvlText w:val=""/>
      <w:lvlJc w:val="left"/>
      <w:pPr>
        <w:ind w:left="6480" w:hanging="360"/>
      </w:pPr>
      <w:rPr>
        <w:rFonts w:ascii="Wingdings" w:hAnsi="Wingdings" w:hint="default"/>
      </w:rPr>
    </w:lvl>
  </w:abstractNum>
  <w:abstractNum w:abstractNumId="4" w15:restartNumberingAfterBreak="0">
    <w:nsid w:val="20C4C84B"/>
    <w:multiLevelType w:val="hybridMultilevel"/>
    <w:tmpl w:val="C2AA98F4"/>
    <w:lvl w:ilvl="0" w:tplc="3D347AE0">
      <w:start w:val="1"/>
      <w:numFmt w:val="decimal"/>
      <w:lvlText w:val="%1."/>
      <w:lvlJc w:val="left"/>
      <w:pPr>
        <w:ind w:left="720" w:hanging="360"/>
      </w:pPr>
    </w:lvl>
    <w:lvl w:ilvl="1" w:tplc="466AB65A">
      <w:start w:val="1"/>
      <w:numFmt w:val="lowerLetter"/>
      <w:lvlText w:val="%2."/>
      <w:lvlJc w:val="left"/>
      <w:pPr>
        <w:ind w:left="1440" w:hanging="360"/>
      </w:pPr>
    </w:lvl>
    <w:lvl w:ilvl="2" w:tplc="4302FF20">
      <w:start w:val="1"/>
      <w:numFmt w:val="lowerRoman"/>
      <w:lvlText w:val="%3."/>
      <w:lvlJc w:val="right"/>
      <w:pPr>
        <w:ind w:left="2160" w:hanging="180"/>
      </w:pPr>
    </w:lvl>
    <w:lvl w:ilvl="3" w:tplc="F70E85A2">
      <w:start w:val="1"/>
      <w:numFmt w:val="decimal"/>
      <w:lvlText w:val="%4."/>
      <w:lvlJc w:val="left"/>
      <w:pPr>
        <w:ind w:left="2880" w:hanging="360"/>
      </w:pPr>
    </w:lvl>
    <w:lvl w:ilvl="4" w:tplc="0186CE36">
      <w:start w:val="1"/>
      <w:numFmt w:val="lowerLetter"/>
      <w:lvlText w:val="%5."/>
      <w:lvlJc w:val="left"/>
      <w:pPr>
        <w:ind w:left="3600" w:hanging="360"/>
      </w:pPr>
    </w:lvl>
    <w:lvl w:ilvl="5" w:tplc="933292DE">
      <w:start w:val="1"/>
      <w:numFmt w:val="lowerRoman"/>
      <w:lvlText w:val="%6."/>
      <w:lvlJc w:val="right"/>
      <w:pPr>
        <w:ind w:left="4320" w:hanging="180"/>
      </w:pPr>
    </w:lvl>
    <w:lvl w:ilvl="6" w:tplc="F70C0C6E">
      <w:start w:val="1"/>
      <w:numFmt w:val="decimal"/>
      <w:lvlText w:val="%7."/>
      <w:lvlJc w:val="left"/>
      <w:pPr>
        <w:ind w:left="5040" w:hanging="360"/>
      </w:pPr>
    </w:lvl>
    <w:lvl w:ilvl="7" w:tplc="2CBED642">
      <w:start w:val="1"/>
      <w:numFmt w:val="lowerLetter"/>
      <w:lvlText w:val="%8."/>
      <w:lvlJc w:val="left"/>
      <w:pPr>
        <w:ind w:left="5760" w:hanging="360"/>
      </w:pPr>
    </w:lvl>
    <w:lvl w:ilvl="8" w:tplc="30FC915C">
      <w:start w:val="1"/>
      <w:numFmt w:val="lowerRoman"/>
      <w:lvlText w:val="%9."/>
      <w:lvlJc w:val="right"/>
      <w:pPr>
        <w:ind w:left="6480" w:hanging="180"/>
      </w:pPr>
    </w:lvl>
  </w:abstractNum>
  <w:abstractNum w:abstractNumId="5" w15:restartNumberingAfterBreak="0">
    <w:nsid w:val="21A62645"/>
    <w:multiLevelType w:val="hybridMultilevel"/>
    <w:tmpl w:val="141A8BB4"/>
    <w:lvl w:ilvl="0" w:tplc="F8FC66EC">
      <w:start w:val="1"/>
      <w:numFmt w:val="bullet"/>
      <w:lvlText w:val=""/>
      <w:lvlJc w:val="left"/>
      <w:pPr>
        <w:ind w:left="720" w:hanging="360"/>
      </w:pPr>
      <w:rPr>
        <w:rFonts w:ascii="Symbol" w:hAnsi="Symbol" w:hint="default"/>
      </w:rPr>
    </w:lvl>
    <w:lvl w:ilvl="1" w:tplc="C4AEBDC8">
      <w:start w:val="1"/>
      <w:numFmt w:val="bullet"/>
      <w:lvlText w:val="o"/>
      <w:lvlJc w:val="left"/>
      <w:pPr>
        <w:ind w:left="1440" w:hanging="360"/>
      </w:pPr>
      <w:rPr>
        <w:rFonts w:ascii="Courier New" w:hAnsi="Courier New" w:hint="default"/>
      </w:rPr>
    </w:lvl>
    <w:lvl w:ilvl="2" w:tplc="2270770E">
      <w:start w:val="1"/>
      <w:numFmt w:val="bullet"/>
      <w:lvlText w:val=""/>
      <w:lvlJc w:val="left"/>
      <w:pPr>
        <w:ind w:left="2160" w:hanging="360"/>
      </w:pPr>
      <w:rPr>
        <w:rFonts w:ascii="Wingdings" w:hAnsi="Wingdings" w:hint="default"/>
      </w:rPr>
    </w:lvl>
    <w:lvl w:ilvl="3" w:tplc="BB7E5D02">
      <w:start w:val="1"/>
      <w:numFmt w:val="bullet"/>
      <w:lvlText w:val=""/>
      <w:lvlJc w:val="left"/>
      <w:pPr>
        <w:ind w:left="2880" w:hanging="360"/>
      </w:pPr>
      <w:rPr>
        <w:rFonts w:ascii="Symbol" w:hAnsi="Symbol" w:hint="default"/>
      </w:rPr>
    </w:lvl>
    <w:lvl w:ilvl="4" w:tplc="A57C2572">
      <w:start w:val="1"/>
      <w:numFmt w:val="bullet"/>
      <w:lvlText w:val="o"/>
      <w:lvlJc w:val="left"/>
      <w:pPr>
        <w:ind w:left="3600" w:hanging="360"/>
      </w:pPr>
      <w:rPr>
        <w:rFonts w:ascii="Courier New" w:hAnsi="Courier New" w:hint="default"/>
      </w:rPr>
    </w:lvl>
    <w:lvl w:ilvl="5" w:tplc="F3E4F6BA">
      <w:start w:val="1"/>
      <w:numFmt w:val="bullet"/>
      <w:lvlText w:val=""/>
      <w:lvlJc w:val="left"/>
      <w:pPr>
        <w:ind w:left="4320" w:hanging="360"/>
      </w:pPr>
      <w:rPr>
        <w:rFonts w:ascii="Wingdings" w:hAnsi="Wingdings" w:hint="default"/>
      </w:rPr>
    </w:lvl>
    <w:lvl w:ilvl="6" w:tplc="F8CC5B4A">
      <w:start w:val="1"/>
      <w:numFmt w:val="bullet"/>
      <w:lvlText w:val=""/>
      <w:lvlJc w:val="left"/>
      <w:pPr>
        <w:ind w:left="5040" w:hanging="360"/>
      </w:pPr>
      <w:rPr>
        <w:rFonts w:ascii="Symbol" w:hAnsi="Symbol" w:hint="default"/>
      </w:rPr>
    </w:lvl>
    <w:lvl w:ilvl="7" w:tplc="79760984">
      <w:start w:val="1"/>
      <w:numFmt w:val="bullet"/>
      <w:lvlText w:val="o"/>
      <w:lvlJc w:val="left"/>
      <w:pPr>
        <w:ind w:left="5760" w:hanging="360"/>
      </w:pPr>
      <w:rPr>
        <w:rFonts w:ascii="Courier New" w:hAnsi="Courier New" w:hint="default"/>
      </w:rPr>
    </w:lvl>
    <w:lvl w:ilvl="8" w:tplc="85405EE2">
      <w:start w:val="1"/>
      <w:numFmt w:val="bullet"/>
      <w:lvlText w:val=""/>
      <w:lvlJc w:val="left"/>
      <w:pPr>
        <w:ind w:left="6480" w:hanging="360"/>
      </w:pPr>
      <w:rPr>
        <w:rFonts w:ascii="Wingdings" w:hAnsi="Wingdings" w:hint="default"/>
      </w:rPr>
    </w:lvl>
  </w:abstractNum>
  <w:abstractNum w:abstractNumId="6" w15:restartNumberingAfterBreak="0">
    <w:nsid w:val="21D51117"/>
    <w:multiLevelType w:val="hybridMultilevel"/>
    <w:tmpl w:val="027CB43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C7B2EF"/>
    <w:multiLevelType w:val="hybridMultilevel"/>
    <w:tmpl w:val="06B2291A"/>
    <w:lvl w:ilvl="0" w:tplc="33AA829C">
      <w:start w:val="1"/>
      <w:numFmt w:val="bullet"/>
      <w:lvlText w:val=""/>
      <w:lvlJc w:val="left"/>
      <w:pPr>
        <w:ind w:left="720" w:hanging="360"/>
      </w:pPr>
      <w:rPr>
        <w:rFonts w:ascii="Symbol" w:hAnsi="Symbol" w:hint="default"/>
      </w:rPr>
    </w:lvl>
    <w:lvl w:ilvl="1" w:tplc="3810306C">
      <w:start w:val="1"/>
      <w:numFmt w:val="bullet"/>
      <w:lvlText w:val="o"/>
      <w:lvlJc w:val="left"/>
      <w:pPr>
        <w:ind w:left="1440" w:hanging="360"/>
      </w:pPr>
      <w:rPr>
        <w:rFonts w:ascii="Courier New" w:hAnsi="Courier New" w:hint="default"/>
      </w:rPr>
    </w:lvl>
    <w:lvl w:ilvl="2" w:tplc="E7F0A706">
      <w:start w:val="1"/>
      <w:numFmt w:val="bullet"/>
      <w:lvlText w:val=""/>
      <w:lvlJc w:val="left"/>
      <w:pPr>
        <w:ind w:left="2160" w:hanging="360"/>
      </w:pPr>
      <w:rPr>
        <w:rFonts w:ascii="Wingdings" w:hAnsi="Wingdings" w:hint="default"/>
      </w:rPr>
    </w:lvl>
    <w:lvl w:ilvl="3" w:tplc="0ECAAA0A">
      <w:start w:val="1"/>
      <w:numFmt w:val="bullet"/>
      <w:lvlText w:val=""/>
      <w:lvlJc w:val="left"/>
      <w:pPr>
        <w:ind w:left="2880" w:hanging="360"/>
      </w:pPr>
      <w:rPr>
        <w:rFonts w:ascii="Symbol" w:hAnsi="Symbol" w:hint="default"/>
      </w:rPr>
    </w:lvl>
    <w:lvl w:ilvl="4" w:tplc="B33695AA">
      <w:start w:val="1"/>
      <w:numFmt w:val="bullet"/>
      <w:lvlText w:val="o"/>
      <w:lvlJc w:val="left"/>
      <w:pPr>
        <w:ind w:left="3600" w:hanging="360"/>
      </w:pPr>
      <w:rPr>
        <w:rFonts w:ascii="Courier New" w:hAnsi="Courier New" w:hint="default"/>
      </w:rPr>
    </w:lvl>
    <w:lvl w:ilvl="5" w:tplc="02B07018">
      <w:start w:val="1"/>
      <w:numFmt w:val="bullet"/>
      <w:lvlText w:val=""/>
      <w:lvlJc w:val="left"/>
      <w:pPr>
        <w:ind w:left="4320" w:hanging="360"/>
      </w:pPr>
      <w:rPr>
        <w:rFonts w:ascii="Wingdings" w:hAnsi="Wingdings" w:hint="default"/>
      </w:rPr>
    </w:lvl>
    <w:lvl w:ilvl="6" w:tplc="B7DC17F2">
      <w:start w:val="1"/>
      <w:numFmt w:val="bullet"/>
      <w:lvlText w:val=""/>
      <w:lvlJc w:val="left"/>
      <w:pPr>
        <w:ind w:left="5040" w:hanging="360"/>
      </w:pPr>
      <w:rPr>
        <w:rFonts w:ascii="Symbol" w:hAnsi="Symbol" w:hint="default"/>
      </w:rPr>
    </w:lvl>
    <w:lvl w:ilvl="7" w:tplc="0876E1FC">
      <w:start w:val="1"/>
      <w:numFmt w:val="bullet"/>
      <w:lvlText w:val="o"/>
      <w:lvlJc w:val="left"/>
      <w:pPr>
        <w:ind w:left="5760" w:hanging="360"/>
      </w:pPr>
      <w:rPr>
        <w:rFonts w:ascii="Courier New" w:hAnsi="Courier New" w:hint="default"/>
      </w:rPr>
    </w:lvl>
    <w:lvl w:ilvl="8" w:tplc="3050B264">
      <w:start w:val="1"/>
      <w:numFmt w:val="bullet"/>
      <w:lvlText w:val=""/>
      <w:lvlJc w:val="left"/>
      <w:pPr>
        <w:ind w:left="6480" w:hanging="360"/>
      </w:pPr>
      <w:rPr>
        <w:rFonts w:ascii="Wingdings" w:hAnsi="Wingdings" w:hint="default"/>
      </w:rPr>
    </w:lvl>
  </w:abstractNum>
  <w:abstractNum w:abstractNumId="8" w15:restartNumberingAfterBreak="0">
    <w:nsid w:val="295F1452"/>
    <w:multiLevelType w:val="hybridMultilevel"/>
    <w:tmpl w:val="859C5400"/>
    <w:lvl w:ilvl="0" w:tplc="037275AE">
      <w:start w:val="1"/>
      <w:numFmt w:val="bullet"/>
      <w:lvlText w:val=""/>
      <w:lvlJc w:val="left"/>
      <w:pPr>
        <w:ind w:left="720" w:hanging="360"/>
      </w:pPr>
      <w:rPr>
        <w:rFonts w:ascii="Symbol" w:hAnsi="Symbol" w:hint="default"/>
      </w:rPr>
    </w:lvl>
    <w:lvl w:ilvl="1" w:tplc="FD241252">
      <w:start w:val="1"/>
      <w:numFmt w:val="bullet"/>
      <w:lvlText w:val="o"/>
      <w:lvlJc w:val="left"/>
      <w:pPr>
        <w:ind w:left="1440" w:hanging="360"/>
      </w:pPr>
      <w:rPr>
        <w:rFonts w:ascii="Courier New" w:hAnsi="Courier New" w:hint="default"/>
      </w:rPr>
    </w:lvl>
    <w:lvl w:ilvl="2" w:tplc="5ACCACCE">
      <w:start w:val="1"/>
      <w:numFmt w:val="bullet"/>
      <w:lvlText w:val=""/>
      <w:lvlJc w:val="left"/>
      <w:pPr>
        <w:ind w:left="2160" w:hanging="360"/>
      </w:pPr>
      <w:rPr>
        <w:rFonts w:ascii="Wingdings" w:hAnsi="Wingdings" w:hint="default"/>
      </w:rPr>
    </w:lvl>
    <w:lvl w:ilvl="3" w:tplc="092AEBC2">
      <w:start w:val="1"/>
      <w:numFmt w:val="bullet"/>
      <w:lvlText w:val=""/>
      <w:lvlJc w:val="left"/>
      <w:pPr>
        <w:ind w:left="2880" w:hanging="360"/>
      </w:pPr>
      <w:rPr>
        <w:rFonts w:ascii="Symbol" w:hAnsi="Symbol" w:hint="default"/>
      </w:rPr>
    </w:lvl>
    <w:lvl w:ilvl="4" w:tplc="286E4D38">
      <w:start w:val="1"/>
      <w:numFmt w:val="bullet"/>
      <w:lvlText w:val="o"/>
      <w:lvlJc w:val="left"/>
      <w:pPr>
        <w:ind w:left="3600" w:hanging="360"/>
      </w:pPr>
      <w:rPr>
        <w:rFonts w:ascii="Courier New" w:hAnsi="Courier New" w:hint="default"/>
      </w:rPr>
    </w:lvl>
    <w:lvl w:ilvl="5" w:tplc="ADA2C010">
      <w:start w:val="1"/>
      <w:numFmt w:val="bullet"/>
      <w:lvlText w:val=""/>
      <w:lvlJc w:val="left"/>
      <w:pPr>
        <w:ind w:left="4320" w:hanging="360"/>
      </w:pPr>
      <w:rPr>
        <w:rFonts w:ascii="Wingdings" w:hAnsi="Wingdings" w:hint="default"/>
      </w:rPr>
    </w:lvl>
    <w:lvl w:ilvl="6" w:tplc="9A66BD02">
      <w:start w:val="1"/>
      <w:numFmt w:val="bullet"/>
      <w:lvlText w:val=""/>
      <w:lvlJc w:val="left"/>
      <w:pPr>
        <w:ind w:left="5040" w:hanging="360"/>
      </w:pPr>
      <w:rPr>
        <w:rFonts w:ascii="Symbol" w:hAnsi="Symbol" w:hint="default"/>
      </w:rPr>
    </w:lvl>
    <w:lvl w:ilvl="7" w:tplc="8D543DB2">
      <w:start w:val="1"/>
      <w:numFmt w:val="bullet"/>
      <w:lvlText w:val="o"/>
      <w:lvlJc w:val="left"/>
      <w:pPr>
        <w:ind w:left="5760" w:hanging="360"/>
      </w:pPr>
      <w:rPr>
        <w:rFonts w:ascii="Courier New" w:hAnsi="Courier New" w:hint="default"/>
      </w:rPr>
    </w:lvl>
    <w:lvl w:ilvl="8" w:tplc="36527ACC">
      <w:start w:val="1"/>
      <w:numFmt w:val="bullet"/>
      <w:lvlText w:val=""/>
      <w:lvlJc w:val="left"/>
      <w:pPr>
        <w:ind w:left="6480" w:hanging="360"/>
      </w:pPr>
      <w:rPr>
        <w:rFonts w:ascii="Wingdings" w:hAnsi="Wingdings" w:hint="default"/>
      </w:rPr>
    </w:lvl>
  </w:abstractNum>
  <w:abstractNum w:abstractNumId="9" w15:restartNumberingAfterBreak="0">
    <w:nsid w:val="369246F5"/>
    <w:multiLevelType w:val="hybridMultilevel"/>
    <w:tmpl w:val="BEB6E5B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290CC1"/>
    <w:multiLevelType w:val="hybridMultilevel"/>
    <w:tmpl w:val="0086940C"/>
    <w:lvl w:ilvl="0" w:tplc="2720573E">
      <w:start w:val="1"/>
      <w:numFmt w:val="bullet"/>
      <w:lvlText w:val=""/>
      <w:lvlJc w:val="left"/>
      <w:pPr>
        <w:ind w:left="720" w:hanging="360"/>
      </w:pPr>
      <w:rPr>
        <w:rFonts w:ascii="Symbol" w:hAnsi="Symbol" w:hint="default"/>
      </w:rPr>
    </w:lvl>
    <w:lvl w:ilvl="1" w:tplc="6FD255F4">
      <w:start w:val="1"/>
      <w:numFmt w:val="bullet"/>
      <w:lvlText w:val="o"/>
      <w:lvlJc w:val="left"/>
      <w:pPr>
        <w:ind w:left="1440" w:hanging="360"/>
      </w:pPr>
      <w:rPr>
        <w:rFonts w:ascii="Courier New" w:hAnsi="Courier New" w:hint="default"/>
      </w:rPr>
    </w:lvl>
    <w:lvl w:ilvl="2" w:tplc="D0B433F4">
      <w:start w:val="1"/>
      <w:numFmt w:val="bullet"/>
      <w:lvlText w:val=""/>
      <w:lvlJc w:val="left"/>
      <w:pPr>
        <w:ind w:left="2160" w:hanging="360"/>
      </w:pPr>
      <w:rPr>
        <w:rFonts w:ascii="Wingdings" w:hAnsi="Wingdings" w:hint="default"/>
      </w:rPr>
    </w:lvl>
    <w:lvl w:ilvl="3" w:tplc="5EF8B164">
      <w:start w:val="1"/>
      <w:numFmt w:val="bullet"/>
      <w:lvlText w:val=""/>
      <w:lvlJc w:val="left"/>
      <w:pPr>
        <w:ind w:left="2880" w:hanging="360"/>
      </w:pPr>
      <w:rPr>
        <w:rFonts w:ascii="Symbol" w:hAnsi="Symbol" w:hint="default"/>
      </w:rPr>
    </w:lvl>
    <w:lvl w:ilvl="4" w:tplc="DB362AF8">
      <w:start w:val="1"/>
      <w:numFmt w:val="bullet"/>
      <w:lvlText w:val="o"/>
      <w:lvlJc w:val="left"/>
      <w:pPr>
        <w:ind w:left="3600" w:hanging="360"/>
      </w:pPr>
      <w:rPr>
        <w:rFonts w:ascii="Courier New" w:hAnsi="Courier New" w:hint="default"/>
      </w:rPr>
    </w:lvl>
    <w:lvl w:ilvl="5" w:tplc="EDB85C50">
      <w:start w:val="1"/>
      <w:numFmt w:val="bullet"/>
      <w:lvlText w:val=""/>
      <w:lvlJc w:val="left"/>
      <w:pPr>
        <w:ind w:left="4320" w:hanging="360"/>
      </w:pPr>
      <w:rPr>
        <w:rFonts w:ascii="Wingdings" w:hAnsi="Wingdings" w:hint="default"/>
      </w:rPr>
    </w:lvl>
    <w:lvl w:ilvl="6" w:tplc="BEE01AF2">
      <w:start w:val="1"/>
      <w:numFmt w:val="bullet"/>
      <w:lvlText w:val=""/>
      <w:lvlJc w:val="left"/>
      <w:pPr>
        <w:ind w:left="5040" w:hanging="360"/>
      </w:pPr>
      <w:rPr>
        <w:rFonts w:ascii="Symbol" w:hAnsi="Symbol" w:hint="default"/>
      </w:rPr>
    </w:lvl>
    <w:lvl w:ilvl="7" w:tplc="169A8634">
      <w:start w:val="1"/>
      <w:numFmt w:val="bullet"/>
      <w:lvlText w:val="o"/>
      <w:lvlJc w:val="left"/>
      <w:pPr>
        <w:ind w:left="5760" w:hanging="360"/>
      </w:pPr>
      <w:rPr>
        <w:rFonts w:ascii="Courier New" w:hAnsi="Courier New" w:hint="default"/>
      </w:rPr>
    </w:lvl>
    <w:lvl w:ilvl="8" w:tplc="00A060C4">
      <w:start w:val="1"/>
      <w:numFmt w:val="bullet"/>
      <w:lvlText w:val=""/>
      <w:lvlJc w:val="left"/>
      <w:pPr>
        <w:ind w:left="6480" w:hanging="360"/>
      </w:pPr>
      <w:rPr>
        <w:rFonts w:ascii="Wingdings" w:hAnsi="Wingdings" w:hint="default"/>
      </w:rPr>
    </w:lvl>
  </w:abstractNum>
  <w:abstractNum w:abstractNumId="11" w15:restartNumberingAfterBreak="0">
    <w:nsid w:val="5317702C"/>
    <w:multiLevelType w:val="hybridMultilevel"/>
    <w:tmpl w:val="27B80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1D9013"/>
    <w:multiLevelType w:val="hybridMultilevel"/>
    <w:tmpl w:val="8BB2C134"/>
    <w:lvl w:ilvl="0" w:tplc="624C68D6">
      <w:start w:val="1"/>
      <w:numFmt w:val="bullet"/>
      <w:lvlText w:val=""/>
      <w:lvlJc w:val="left"/>
      <w:pPr>
        <w:ind w:left="720" w:hanging="360"/>
      </w:pPr>
      <w:rPr>
        <w:rFonts w:ascii="Symbol" w:hAnsi="Symbol" w:hint="default"/>
      </w:rPr>
    </w:lvl>
    <w:lvl w:ilvl="1" w:tplc="3952846A">
      <w:start w:val="1"/>
      <w:numFmt w:val="bullet"/>
      <w:lvlText w:val="o"/>
      <w:lvlJc w:val="left"/>
      <w:pPr>
        <w:ind w:left="1440" w:hanging="360"/>
      </w:pPr>
      <w:rPr>
        <w:rFonts w:ascii="Courier New" w:hAnsi="Courier New" w:hint="default"/>
      </w:rPr>
    </w:lvl>
    <w:lvl w:ilvl="2" w:tplc="4746DF54">
      <w:start w:val="1"/>
      <w:numFmt w:val="bullet"/>
      <w:lvlText w:val=""/>
      <w:lvlJc w:val="left"/>
      <w:pPr>
        <w:ind w:left="2160" w:hanging="360"/>
      </w:pPr>
      <w:rPr>
        <w:rFonts w:ascii="Wingdings" w:hAnsi="Wingdings" w:hint="default"/>
      </w:rPr>
    </w:lvl>
    <w:lvl w:ilvl="3" w:tplc="1776695E">
      <w:start w:val="1"/>
      <w:numFmt w:val="bullet"/>
      <w:lvlText w:val=""/>
      <w:lvlJc w:val="left"/>
      <w:pPr>
        <w:ind w:left="2880" w:hanging="360"/>
      </w:pPr>
      <w:rPr>
        <w:rFonts w:ascii="Symbol" w:hAnsi="Symbol" w:hint="default"/>
      </w:rPr>
    </w:lvl>
    <w:lvl w:ilvl="4" w:tplc="CBAE90D0">
      <w:start w:val="1"/>
      <w:numFmt w:val="bullet"/>
      <w:lvlText w:val="o"/>
      <w:lvlJc w:val="left"/>
      <w:pPr>
        <w:ind w:left="3600" w:hanging="360"/>
      </w:pPr>
      <w:rPr>
        <w:rFonts w:ascii="Courier New" w:hAnsi="Courier New" w:hint="default"/>
      </w:rPr>
    </w:lvl>
    <w:lvl w:ilvl="5" w:tplc="00063038">
      <w:start w:val="1"/>
      <w:numFmt w:val="bullet"/>
      <w:lvlText w:val=""/>
      <w:lvlJc w:val="left"/>
      <w:pPr>
        <w:ind w:left="4320" w:hanging="360"/>
      </w:pPr>
      <w:rPr>
        <w:rFonts w:ascii="Wingdings" w:hAnsi="Wingdings" w:hint="default"/>
      </w:rPr>
    </w:lvl>
    <w:lvl w:ilvl="6" w:tplc="5B7ACAC8">
      <w:start w:val="1"/>
      <w:numFmt w:val="bullet"/>
      <w:lvlText w:val=""/>
      <w:lvlJc w:val="left"/>
      <w:pPr>
        <w:ind w:left="5040" w:hanging="360"/>
      </w:pPr>
      <w:rPr>
        <w:rFonts w:ascii="Symbol" w:hAnsi="Symbol" w:hint="default"/>
      </w:rPr>
    </w:lvl>
    <w:lvl w:ilvl="7" w:tplc="0E6CB558">
      <w:start w:val="1"/>
      <w:numFmt w:val="bullet"/>
      <w:lvlText w:val="o"/>
      <w:lvlJc w:val="left"/>
      <w:pPr>
        <w:ind w:left="5760" w:hanging="360"/>
      </w:pPr>
      <w:rPr>
        <w:rFonts w:ascii="Courier New" w:hAnsi="Courier New" w:hint="default"/>
      </w:rPr>
    </w:lvl>
    <w:lvl w:ilvl="8" w:tplc="990E3D0E">
      <w:start w:val="1"/>
      <w:numFmt w:val="bullet"/>
      <w:lvlText w:val=""/>
      <w:lvlJc w:val="left"/>
      <w:pPr>
        <w:ind w:left="6480" w:hanging="360"/>
      </w:pPr>
      <w:rPr>
        <w:rFonts w:ascii="Wingdings" w:hAnsi="Wingdings" w:hint="default"/>
      </w:rPr>
    </w:lvl>
  </w:abstractNum>
  <w:abstractNum w:abstractNumId="13" w15:restartNumberingAfterBreak="0">
    <w:nsid w:val="6F1AE8D3"/>
    <w:multiLevelType w:val="hybridMultilevel"/>
    <w:tmpl w:val="8DBE396E"/>
    <w:lvl w:ilvl="0" w:tplc="BF7C9310">
      <w:start w:val="1"/>
      <w:numFmt w:val="bullet"/>
      <w:lvlText w:val=""/>
      <w:lvlJc w:val="left"/>
      <w:pPr>
        <w:ind w:left="720" w:hanging="360"/>
      </w:pPr>
      <w:rPr>
        <w:rFonts w:ascii="Symbol" w:hAnsi="Symbol" w:hint="default"/>
      </w:rPr>
    </w:lvl>
    <w:lvl w:ilvl="1" w:tplc="3E940D7A">
      <w:start w:val="1"/>
      <w:numFmt w:val="bullet"/>
      <w:lvlText w:val="o"/>
      <w:lvlJc w:val="left"/>
      <w:pPr>
        <w:ind w:left="1440" w:hanging="360"/>
      </w:pPr>
      <w:rPr>
        <w:rFonts w:ascii="Courier New" w:hAnsi="Courier New" w:hint="default"/>
      </w:rPr>
    </w:lvl>
    <w:lvl w:ilvl="2" w:tplc="55003C5E">
      <w:start w:val="1"/>
      <w:numFmt w:val="bullet"/>
      <w:lvlText w:val=""/>
      <w:lvlJc w:val="left"/>
      <w:pPr>
        <w:ind w:left="2160" w:hanging="360"/>
      </w:pPr>
      <w:rPr>
        <w:rFonts w:ascii="Wingdings" w:hAnsi="Wingdings" w:hint="default"/>
      </w:rPr>
    </w:lvl>
    <w:lvl w:ilvl="3" w:tplc="5DC6CBB8">
      <w:start w:val="1"/>
      <w:numFmt w:val="bullet"/>
      <w:lvlText w:val=""/>
      <w:lvlJc w:val="left"/>
      <w:pPr>
        <w:ind w:left="2880" w:hanging="360"/>
      </w:pPr>
      <w:rPr>
        <w:rFonts w:ascii="Symbol" w:hAnsi="Symbol" w:hint="default"/>
      </w:rPr>
    </w:lvl>
    <w:lvl w:ilvl="4" w:tplc="0DD4C084">
      <w:start w:val="1"/>
      <w:numFmt w:val="bullet"/>
      <w:lvlText w:val="o"/>
      <w:lvlJc w:val="left"/>
      <w:pPr>
        <w:ind w:left="3600" w:hanging="360"/>
      </w:pPr>
      <w:rPr>
        <w:rFonts w:ascii="Courier New" w:hAnsi="Courier New" w:hint="default"/>
      </w:rPr>
    </w:lvl>
    <w:lvl w:ilvl="5" w:tplc="1A488618">
      <w:start w:val="1"/>
      <w:numFmt w:val="bullet"/>
      <w:lvlText w:val=""/>
      <w:lvlJc w:val="left"/>
      <w:pPr>
        <w:ind w:left="4320" w:hanging="360"/>
      </w:pPr>
      <w:rPr>
        <w:rFonts w:ascii="Wingdings" w:hAnsi="Wingdings" w:hint="default"/>
      </w:rPr>
    </w:lvl>
    <w:lvl w:ilvl="6" w:tplc="B99077CC">
      <w:start w:val="1"/>
      <w:numFmt w:val="bullet"/>
      <w:lvlText w:val=""/>
      <w:lvlJc w:val="left"/>
      <w:pPr>
        <w:ind w:left="5040" w:hanging="360"/>
      </w:pPr>
      <w:rPr>
        <w:rFonts w:ascii="Symbol" w:hAnsi="Symbol" w:hint="default"/>
      </w:rPr>
    </w:lvl>
    <w:lvl w:ilvl="7" w:tplc="5316C258">
      <w:start w:val="1"/>
      <w:numFmt w:val="bullet"/>
      <w:lvlText w:val="o"/>
      <w:lvlJc w:val="left"/>
      <w:pPr>
        <w:ind w:left="5760" w:hanging="360"/>
      </w:pPr>
      <w:rPr>
        <w:rFonts w:ascii="Courier New" w:hAnsi="Courier New" w:hint="default"/>
      </w:rPr>
    </w:lvl>
    <w:lvl w:ilvl="8" w:tplc="2A625982">
      <w:start w:val="1"/>
      <w:numFmt w:val="bullet"/>
      <w:lvlText w:val=""/>
      <w:lvlJc w:val="left"/>
      <w:pPr>
        <w:ind w:left="6480" w:hanging="360"/>
      </w:pPr>
      <w:rPr>
        <w:rFonts w:ascii="Wingdings" w:hAnsi="Wingdings" w:hint="default"/>
      </w:rPr>
    </w:lvl>
  </w:abstractNum>
  <w:abstractNum w:abstractNumId="14" w15:restartNumberingAfterBreak="0">
    <w:nsid w:val="707F7AD5"/>
    <w:multiLevelType w:val="hybridMultilevel"/>
    <w:tmpl w:val="1A48BE3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1B3A09"/>
    <w:multiLevelType w:val="hybridMultilevel"/>
    <w:tmpl w:val="537E8592"/>
    <w:lvl w:ilvl="0" w:tplc="91085254">
      <w:start w:val="1"/>
      <w:numFmt w:val="bullet"/>
      <w:lvlText w:val=""/>
      <w:lvlJc w:val="left"/>
      <w:pPr>
        <w:ind w:left="720" w:hanging="360"/>
      </w:pPr>
      <w:rPr>
        <w:rFonts w:ascii="Symbol" w:hAnsi="Symbol" w:hint="default"/>
      </w:rPr>
    </w:lvl>
    <w:lvl w:ilvl="1" w:tplc="EE8E6E6A">
      <w:start w:val="1"/>
      <w:numFmt w:val="bullet"/>
      <w:lvlText w:val="o"/>
      <w:lvlJc w:val="left"/>
      <w:pPr>
        <w:ind w:left="1440" w:hanging="360"/>
      </w:pPr>
      <w:rPr>
        <w:rFonts w:ascii="Courier New" w:hAnsi="Courier New" w:hint="default"/>
      </w:rPr>
    </w:lvl>
    <w:lvl w:ilvl="2" w:tplc="38B4DE42">
      <w:start w:val="1"/>
      <w:numFmt w:val="bullet"/>
      <w:lvlText w:val=""/>
      <w:lvlJc w:val="left"/>
      <w:pPr>
        <w:ind w:left="2160" w:hanging="360"/>
      </w:pPr>
      <w:rPr>
        <w:rFonts w:ascii="Wingdings" w:hAnsi="Wingdings" w:hint="default"/>
      </w:rPr>
    </w:lvl>
    <w:lvl w:ilvl="3" w:tplc="0CA8EE04">
      <w:start w:val="1"/>
      <w:numFmt w:val="bullet"/>
      <w:lvlText w:val=""/>
      <w:lvlJc w:val="left"/>
      <w:pPr>
        <w:ind w:left="2880" w:hanging="360"/>
      </w:pPr>
      <w:rPr>
        <w:rFonts w:ascii="Symbol" w:hAnsi="Symbol" w:hint="default"/>
      </w:rPr>
    </w:lvl>
    <w:lvl w:ilvl="4" w:tplc="9A1E07DE">
      <w:start w:val="1"/>
      <w:numFmt w:val="bullet"/>
      <w:lvlText w:val="o"/>
      <w:lvlJc w:val="left"/>
      <w:pPr>
        <w:ind w:left="3600" w:hanging="360"/>
      </w:pPr>
      <w:rPr>
        <w:rFonts w:ascii="Courier New" w:hAnsi="Courier New" w:hint="default"/>
      </w:rPr>
    </w:lvl>
    <w:lvl w:ilvl="5" w:tplc="1024A5B8">
      <w:start w:val="1"/>
      <w:numFmt w:val="bullet"/>
      <w:lvlText w:val=""/>
      <w:lvlJc w:val="left"/>
      <w:pPr>
        <w:ind w:left="4320" w:hanging="360"/>
      </w:pPr>
      <w:rPr>
        <w:rFonts w:ascii="Wingdings" w:hAnsi="Wingdings" w:hint="default"/>
      </w:rPr>
    </w:lvl>
    <w:lvl w:ilvl="6" w:tplc="214CA298">
      <w:start w:val="1"/>
      <w:numFmt w:val="bullet"/>
      <w:lvlText w:val=""/>
      <w:lvlJc w:val="left"/>
      <w:pPr>
        <w:ind w:left="5040" w:hanging="360"/>
      </w:pPr>
      <w:rPr>
        <w:rFonts w:ascii="Symbol" w:hAnsi="Symbol" w:hint="default"/>
      </w:rPr>
    </w:lvl>
    <w:lvl w:ilvl="7" w:tplc="4C9211FC">
      <w:start w:val="1"/>
      <w:numFmt w:val="bullet"/>
      <w:lvlText w:val="o"/>
      <w:lvlJc w:val="left"/>
      <w:pPr>
        <w:ind w:left="5760" w:hanging="360"/>
      </w:pPr>
      <w:rPr>
        <w:rFonts w:ascii="Courier New" w:hAnsi="Courier New" w:hint="default"/>
      </w:rPr>
    </w:lvl>
    <w:lvl w:ilvl="8" w:tplc="692062E4">
      <w:start w:val="1"/>
      <w:numFmt w:val="bullet"/>
      <w:lvlText w:val=""/>
      <w:lvlJc w:val="left"/>
      <w:pPr>
        <w:ind w:left="6480" w:hanging="360"/>
      </w:pPr>
      <w:rPr>
        <w:rFonts w:ascii="Wingdings" w:hAnsi="Wingdings" w:hint="default"/>
      </w:rPr>
    </w:lvl>
  </w:abstractNum>
  <w:abstractNum w:abstractNumId="16" w15:restartNumberingAfterBreak="0">
    <w:nsid w:val="7761743A"/>
    <w:multiLevelType w:val="hybridMultilevel"/>
    <w:tmpl w:val="B606744E"/>
    <w:lvl w:ilvl="0" w:tplc="60F4F928">
      <w:start w:val="1"/>
      <w:numFmt w:val="bullet"/>
      <w:lvlText w:val=""/>
      <w:lvlJc w:val="left"/>
      <w:pPr>
        <w:ind w:left="720" w:hanging="360"/>
      </w:pPr>
      <w:rPr>
        <w:rFonts w:ascii="Symbol" w:hAnsi="Symbol" w:hint="default"/>
      </w:rPr>
    </w:lvl>
    <w:lvl w:ilvl="1" w:tplc="235CDAF4">
      <w:start w:val="1"/>
      <w:numFmt w:val="bullet"/>
      <w:lvlText w:val="o"/>
      <w:lvlJc w:val="left"/>
      <w:pPr>
        <w:ind w:left="1440" w:hanging="360"/>
      </w:pPr>
      <w:rPr>
        <w:rFonts w:ascii="Courier New" w:hAnsi="Courier New" w:hint="default"/>
      </w:rPr>
    </w:lvl>
    <w:lvl w:ilvl="2" w:tplc="5D48057A">
      <w:start w:val="1"/>
      <w:numFmt w:val="bullet"/>
      <w:lvlText w:val=""/>
      <w:lvlJc w:val="left"/>
      <w:pPr>
        <w:ind w:left="2160" w:hanging="360"/>
      </w:pPr>
      <w:rPr>
        <w:rFonts w:ascii="Wingdings" w:hAnsi="Wingdings" w:hint="default"/>
      </w:rPr>
    </w:lvl>
    <w:lvl w:ilvl="3" w:tplc="8CC01242">
      <w:start w:val="1"/>
      <w:numFmt w:val="bullet"/>
      <w:lvlText w:val=""/>
      <w:lvlJc w:val="left"/>
      <w:pPr>
        <w:ind w:left="2880" w:hanging="360"/>
      </w:pPr>
      <w:rPr>
        <w:rFonts w:ascii="Symbol" w:hAnsi="Symbol" w:hint="default"/>
      </w:rPr>
    </w:lvl>
    <w:lvl w:ilvl="4" w:tplc="BFC09B64">
      <w:start w:val="1"/>
      <w:numFmt w:val="bullet"/>
      <w:lvlText w:val="o"/>
      <w:lvlJc w:val="left"/>
      <w:pPr>
        <w:ind w:left="3600" w:hanging="360"/>
      </w:pPr>
      <w:rPr>
        <w:rFonts w:ascii="Courier New" w:hAnsi="Courier New" w:hint="default"/>
      </w:rPr>
    </w:lvl>
    <w:lvl w:ilvl="5" w:tplc="E346B48A">
      <w:start w:val="1"/>
      <w:numFmt w:val="bullet"/>
      <w:lvlText w:val=""/>
      <w:lvlJc w:val="left"/>
      <w:pPr>
        <w:ind w:left="4320" w:hanging="360"/>
      </w:pPr>
      <w:rPr>
        <w:rFonts w:ascii="Wingdings" w:hAnsi="Wingdings" w:hint="default"/>
      </w:rPr>
    </w:lvl>
    <w:lvl w:ilvl="6" w:tplc="B316F2B6">
      <w:start w:val="1"/>
      <w:numFmt w:val="bullet"/>
      <w:lvlText w:val=""/>
      <w:lvlJc w:val="left"/>
      <w:pPr>
        <w:ind w:left="5040" w:hanging="360"/>
      </w:pPr>
      <w:rPr>
        <w:rFonts w:ascii="Symbol" w:hAnsi="Symbol" w:hint="default"/>
      </w:rPr>
    </w:lvl>
    <w:lvl w:ilvl="7" w:tplc="F038360E">
      <w:start w:val="1"/>
      <w:numFmt w:val="bullet"/>
      <w:lvlText w:val="o"/>
      <w:lvlJc w:val="left"/>
      <w:pPr>
        <w:ind w:left="5760" w:hanging="360"/>
      </w:pPr>
      <w:rPr>
        <w:rFonts w:ascii="Courier New" w:hAnsi="Courier New" w:hint="default"/>
      </w:rPr>
    </w:lvl>
    <w:lvl w:ilvl="8" w:tplc="36EC4C4C">
      <w:start w:val="1"/>
      <w:numFmt w:val="bullet"/>
      <w:lvlText w:val=""/>
      <w:lvlJc w:val="left"/>
      <w:pPr>
        <w:ind w:left="6480" w:hanging="360"/>
      </w:pPr>
      <w:rPr>
        <w:rFonts w:ascii="Wingdings" w:hAnsi="Wingdings" w:hint="default"/>
      </w:rPr>
    </w:lvl>
  </w:abstractNum>
  <w:abstractNum w:abstractNumId="17" w15:restartNumberingAfterBreak="0">
    <w:nsid w:val="78320438"/>
    <w:multiLevelType w:val="hybridMultilevel"/>
    <w:tmpl w:val="479A4C80"/>
    <w:lvl w:ilvl="0" w:tplc="4C7CB702">
      <w:start w:val="1"/>
      <w:numFmt w:val="bullet"/>
      <w:lvlText w:val=""/>
      <w:lvlJc w:val="left"/>
      <w:pPr>
        <w:ind w:left="720" w:hanging="360"/>
      </w:pPr>
      <w:rPr>
        <w:rFonts w:ascii="Symbol" w:hAnsi="Symbol" w:hint="default"/>
      </w:rPr>
    </w:lvl>
    <w:lvl w:ilvl="1" w:tplc="5220F92A">
      <w:start w:val="1"/>
      <w:numFmt w:val="bullet"/>
      <w:lvlText w:val="o"/>
      <w:lvlJc w:val="left"/>
      <w:pPr>
        <w:ind w:left="1440" w:hanging="360"/>
      </w:pPr>
      <w:rPr>
        <w:rFonts w:ascii="Courier New" w:hAnsi="Courier New" w:hint="default"/>
      </w:rPr>
    </w:lvl>
    <w:lvl w:ilvl="2" w:tplc="7AC8CD18">
      <w:start w:val="1"/>
      <w:numFmt w:val="bullet"/>
      <w:lvlText w:val=""/>
      <w:lvlJc w:val="left"/>
      <w:pPr>
        <w:ind w:left="2160" w:hanging="360"/>
      </w:pPr>
      <w:rPr>
        <w:rFonts w:ascii="Wingdings" w:hAnsi="Wingdings" w:hint="default"/>
      </w:rPr>
    </w:lvl>
    <w:lvl w:ilvl="3" w:tplc="C6649882">
      <w:start w:val="1"/>
      <w:numFmt w:val="bullet"/>
      <w:lvlText w:val=""/>
      <w:lvlJc w:val="left"/>
      <w:pPr>
        <w:ind w:left="2880" w:hanging="360"/>
      </w:pPr>
      <w:rPr>
        <w:rFonts w:ascii="Symbol" w:hAnsi="Symbol" w:hint="default"/>
      </w:rPr>
    </w:lvl>
    <w:lvl w:ilvl="4" w:tplc="445A7B4A">
      <w:start w:val="1"/>
      <w:numFmt w:val="bullet"/>
      <w:lvlText w:val="o"/>
      <w:lvlJc w:val="left"/>
      <w:pPr>
        <w:ind w:left="3600" w:hanging="360"/>
      </w:pPr>
      <w:rPr>
        <w:rFonts w:ascii="Courier New" w:hAnsi="Courier New" w:hint="default"/>
      </w:rPr>
    </w:lvl>
    <w:lvl w:ilvl="5" w:tplc="6BA29A84">
      <w:start w:val="1"/>
      <w:numFmt w:val="bullet"/>
      <w:lvlText w:val=""/>
      <w:lvlJc w:val="left"/>
      <w:pPr>
        <w:ind w:left="4320" w:hanging="360"/>
      </w:pPr>
      <w:rPr>
        <w:rFonts w:ascii="Wingdings" w:hAnsi="Wingdings" w:hint="default"/>
      </w:rPr>
    </w:lvl>
    <w:lvl w:ilvl="6" w:tplc="207EDE70">
      <w:start w:val="1"/>
      <w:numFmt w:val="bullet"/>
      <w:lvlText w:val=""/>
      <w:lvlJc w:val="left"/>
      <w:pPr>
        <w:ind w:left="5040" w:hanging="360"/>
      </w:pPr>
      <w:rPr>
        <w:rFonts w:ascii="Symbol" w:hAnsi="Symbol" w:hint="default"/>
      </w:rPr>
    </w:lvl>
    <w:lvl w:ilvl="7" w:tplc="ED9E4646">
      <w:start w:val="1"/>
      <w:numFmt w:val="bullet"/>
      <w:lvlText w:val="o"/>
      <w:lvlJc w:val="left"/>
      <w:pPr>
        <w:ind w:left="5760" w:hanging="360"/>
      </w:pPr>
      <w:rPr>
        <w:rFonts w:ascii="Courier New" w:hAnsi="Courier New" w:hint="default"/>
      </w:rPr>
    </w:lvl>
    <w:lvl w:ilvl="8" w:tplc="3C6C52AA">
      <w:start w:val="1"/>
      <w:numFmt w:val="bullet"/>
      <w:lvlText w:val=""/>
      <w:lvlJc w:val="left"/>
      <w:pPr>
        <w:ind w:left="6480" w:hanging="360"/>
      </w:pPr>
      <w:rPr>
        <w:rFonts w:ascii="Wingdings" w:hAnsi="Wingdings" w:hint="default"/>
      </w:rPr>
    </w:lvl>
  </w:abstractNum>
  <w:abstractNum w:abstractNumId="18" w15:restartNumberingAfterBreak="0">
    <w:nsid w:val="7CBA95F4"/>
    <w:multiLevelType w:val="hybridMultilevel"/>
    <w:tmpl w:val="AF40C0E6"/>
    <w:lvl w:ilvl="0" w:tplc="C02AB6DA">
      <w:start w:val="1"/>
      <w:numFmt w:val="bullet"/>
      <w:lvlText w:val=""/>
      <w:lvlJc w:val="left"/>
      <w:pPr>
        <w:ind w:left="720" w:hanging="360"/>
      </w:pPr>
      <w:rPr>
        <w:rFonts w:ascii="Symbol" w:hAnsi="Symbol" w:hint="default"/>
      </w:rPr>
    </w:lvl>
    <w:lvl w:ilvl="1" w:tplc="71149D40">
      <w:start w:val="1"/>
      <w:numFmt w:val="bullet"/>
      <w:lvlText w:val="o"/>
      <w:lvlJc w:val="left"/>
      <w:pPr>
        <w:ind w:left="1440" w:hanging="360"/>
      </w:pPr>
      <w:rPr>
        <w:rFonts w:ascii="Courier New" w:hAnsi="Courier New" w:hint="default"/>
      </w:rPr>
    </w:lvl>
    <w:lvl w:ilvl="2" w:tplc="09F41162">
      <w:start w:val="1"/>
      <w:numFmt w:val="bullet"/>
      <w:lvlText w:val=""/>
      <w:lvlJc w:val="left"/>
      <w:pPr>
        <w:ind w:left="2160" w:hanging="360"/>
      </w:pPr>
      <w:rPr>
        <w:rFonts w:ascii="Wingdings" w:hAnsi="Wingdings" w:hint="default"/>
      </w:rPr>
    </w:lvl>
    <w:lvl w:ilvl="3" w:tplc="3BE4EE0C">
      <w:start w:val="1"/>
      <w:numFmt w:val="bullet"/>
      <w:lvlText w:val=""/>
      <w:lvlJc w:val="left"/>
      <w:pPr>
        <w:ind w:left="2880" w:hanging="360"/>
      </w:pPr>
      <w:rPr>
        <w:rFonts w:ascii="Symbol" w:hAnsi="Symbol" w:hint="default"/>
      </w:rPr>
    </w:lvl>
    <w:lvl w:ilvl="4" w:tplc="EA9CE244">
      <w:start w:val="1"/>
      <w:numFmt w:val="bullet"/>
      <w:lvlText w:val="o"/>
      <w:lvlJc w:val="left"/>
      <w:pPr>
        <w:ind w:left="3600" w:hanging="360"/>
      </w:pPr>
      <w:rPr>
        <w:rFonts w:ascii="Courier New" w:hAnsi="Courier New" w:hint="default"/>
      </w:rPr>
    </w:lvl>
    <w:lvl w:ilvl="5" w:tplc="DC44BBBA">
      <w:start w:val="1"/>
      <w:numFmt w:val="bullet"/>
      <w:lvlText w:val=""/>
      <w:lvlJc w:val="left"/>
      <w:pPr>
        <w:ind w:left="4320" w:hanging="360"/>
      </w:pPr>
      <w:rPr>
        <w:rFonts w:ascii="Wingdings" w:hAnsi="Wingdings" w:hint="default"/>
      </w:rPr>
    </w:lvl>
    <w:lvl w:ilvl="6" w:tplc="402E7A10">
      <w:start w:val="1"/>
      <w:numFmt w:val="bullet"/>
      <w:lvlText w:val=""/>
      <w:lvlJc w:val="left"/>
      <w:pPr>
        <w:ind w:left="5040" w:hanging="360"/>
      </w:pPr>
      <w:rPr>
        <w:rFonts w:ascii="Symbol" w:hAnsi="Symbol" w:hint="default"/>
      </w:rPr>
    </w:lvl>
    <w:lvl w:ilvl="7" w:tplc="27B82A20">
      <w:start w:val="1"/>
      <w:numFmt w:val="bullet"/>
      <w:lvlText w:val="o"/>
      <w:lvlJc w:val="left"/>
      <w:pPr>
        <w:ind w:left="5760" w:hanging="360"/>
      </w:pPr>
      <w:rPr>
        <w:rFonts w:ascii="Courier New" w:hAnsi="Courier New" w:hint="default"/>
      </w:rPr>
    </w:lvl>
    <w:lvl w:ilvl="8" w:tplc="574429C2">
      <w:start w:val="1"/>
      <w:numFmt w:val="bullet"/>
      <w:lvlText w:val=""/>
      <w:lvlJc w:val="left"/>
      <w:pPr>
        <w:ind w:left="6480" w:hanging="360"/>
      </w:pPr>
      <w:rPr>
        <w:rFonts w:ascii="Wingdings" w:hAnsi="Wingdings" w:hint="default"/>
      </w:rPr>
    </w:lvl>
  </w:abstractNum>
  <w:abstractNum w:abstractNumId="19" w15:restartNumberingAfterBreak="0">
    <w:nsid w:val="7D69CA1E"/>
    <w:multiLevelType w:val="hybridMultilevel"/>
    <w:tmpl w:val="E38875DC"/>
    <w:lvl w:ilvl="0" w:tplc="E8D0F60C">
      <w:start w:val="1"/>
      <w:numFmt w:val="bullet"/>
      <w:lvlText w:val=""/>
      <w:lvlJc w:val="left"/>
      <w:pPr>
        <w:ind w:left="720" w:hanging="360"/>
      </w:pPr>
      <w:rPr>
        <w:rFonts w:ascii="Symbol" w:hAnsi="Symbol" w:hint="default"/>
      </w:rPr>
    </w:lvl>
    <w:lvl w:ilvl="1" w:tplc="E36C3B2A">
      <w:start w:val="1"/>
      <w:numFmt w:val="bullet"/>
      <w:lvlText w:val="o"/>
      <w:lvlJc w:val="left"/>
      <w:pPr>
        <w:ind w:left="1440" w:hanging="360"/>
      </w:pPr>
      <w:rPr>
        <w:rFonts w:ascii="Courier New" w:hAnsi="Courier New" w:hint="default"/>
      </w:rPr>
    </w:lvl>
    <w:lvl w:ilvl="2" w:tplc="4650CB3A">
      <w:start w:val="1"/>
      <w:numFmt w:val="bullet"/>
      <w:lvlText w:val=""/>
      <w:lvlJc w:val="left"/>
      <w:pPr>
        <w:ind w:left="2160" w:hanging="360"/>
      </w:pPr>
      <w:rPr>
        <w:rFonts w:ascii="Wingdings" w:hAnsi="Wingdings" w:hint="default"/>
      </w:rPr>
    </w:lvl>
    <w:lvl w:ilvl="3" w:tplc="2DA80394">
      <w:start w:val="1"/>
      <w:numFmt w:val="bullet"/>
      <w:lvlText w:val=""/>
      <w:lvlJc w:val="left"/>
      <w:pPr>
        <w:ind w:left="2880" w:hanging="360"/>
      </w:pPr>
      <w:rPr>
        <w:rFonts w:ascii="Symbol" w:hAnsi="Symbol" w:hint="default"/>
      </w:rPr>
    </w:lvl>
    <w:lvl w:ilvl="4" w:tplc="7E4E0738">
      <w:start w:val="1"/>
      <w:numFmt w:val="bullet"/>
      <w:lvlText w:val="o"/>
      <w:lvlJc w:val="left"/>
      <w:pPr>
        <w:ind w:left="3600" w:hanging="360"/>
      </w:pPr>
      <w:rPr>
        <w:rFonts w:ascii="Courier New" w:hAnsi="Courier New" w:hint="default"/>
      </w:rPr>
    </w:lvl>
    <w:lvl w:ilvl="5" w:tplc="2FA0927A">
      <w:start w:val="1"/>
      <w:numFmt w:val="bullet"/>
      <w:lvlText w:val=""/>
      <w:lvlJc w:val="left"/>
      <w:pPr>
        <w:ind w:left="4320" w:hanging="360"/>
      </w:pPr>
      <w:rPr>
        <w:rFonts w:ascii="Wingdings" w:hAnsi="Wingdings" w:hint="default"/>
      </w:rPr>
    </w:lvl>
    <w:lvl w:ilvl="6" w:tplc="E7042CBC">
      <w:start w:val="1"/>
      <w:numFmt w:val="bullet"/>
      <w:lvlText w:val=""/>
      <w:lvlJc w:val="left"/>
      <w:pPr>
        <w:ind w:left="5040" w:hanging="360"/>
      </w:pPr>
      <w:rPr>
        <w:rFonts w:ascii="Symbol" w:hAnsi="Symbol" w:hint="default"/>
      </w:rPr>
    </w:lvl>
    <w:lvl w:ilvl="7" w:tplc="9D263FEC">
      <w:start w:val="1"/>
      <w:numFmt w:val="bullet"/>
      <w:lvlText w:val="o"/>
      <w:lvlJc w:val="left"/>
      <w:pPr>
        <w:ind w:left="5760" w:hanging="360"/>
      </w:pPr>
      <w:rPr>
        <w:rFonts w:ascii="Courier New" w:hAnsi="Courier New" w:hint="default"/>
      </w:rPr>
    </w:lvl>
    <w:lvl w:ilvl="8" w:tplc="94D4ECE0">
      <w:start w:val="1"/>
      <w:numFmt w:val="bullet"/>
      <w:lvlText w:val=""/>
      <w:lvlJc w:val="left"/>
      <w:pPr>
        <w:ind w:left="6480" w:hanging="360"/>
      </w:pPr>
      <w:rPr>
        <w:rFonts w:ascii="Wingdings" w:hAnsi="Wingdings" w:hint="default"/>
      </w:rPr>
    </w:lvl>
  </w:abstractNum>
  <w:num w:numId="1" w16cid:durableId="447624834">
    <w:abstractNumId w:val="11"/>
  </w:num>
  <w:num w:numId="2" w16cid:durableId="626159060">
    <w:abstractNumId w:val="1"/>
  </w:num>
  <w:num w:numId="3" w16cid:durableId="1802839059">
    <w:abstractNumId w:val="9"/>
  </w:num>
  <w:num w:numId="4" w16cid:durableId="265038543">
    <w:abstractNumId w:val="14"/>
  </w:num>
  <w:num w:numId="5" w16cid:durableId="858588078">
    <w:abstractNumId w:val="17"/>
  </w:num>
  <w:num w:numId="6" w16cid:durableId="498693915">
    <w:abstractNumId w:val="18"/>
  </w:num>
  <w:num w:numId="7" w16cid:durableId="2139377688">
    <w:abstractNumId w:val="2"/>
  </w:num>
  <w:num w:numId="8" w16cid:durableId="1715618396">
    <w:abstractNumId w:val="15"/>
  </w:num>
  <w:num w:numId="9" w16cid:durableId="1583219856">
    <w:abstractNumId w:val="5"/>
  </w:num>
  <w:num w:numId="10" w16cid:durableId="1156995252">
    <w:abstractNumId w:val="3"/>
  </w:num>
  <w:num w:numId="11" w16cid:durableId="1328630782">
    <w:abstractNumId w:val="8"/>
  </w:num>
  <w:num w:numId="12" w16cid:durableId="855002199">
    <w:abstractNumId w:val="7"/>
  </w:num>
  <w:num w:numId="13" w16cid:durableId="2050299805">
    <w:abstractNumId w:val="4"/>
  </w:num>
  <w:num w:numId="14" w16cid:durableId="27416527">
    <w:abstractNumId w:val="12"/>
  </w:num>
  <w:num w:numId="15" w16cid:durableId="1285113557">
    <w:abstractNumId w:val="6"/>
  </w:num>
  <w:num w:numId="16" w16cid:durableId="933513230">
    <w:abstractNumId w:val="16"/>
  </w:num>
  <w:num w:numId="17" w16cid:durableId="1431588265">
    <w:abstractNumId w:val="19"/>
  </w:num>
  <w:num w:numId="18" w16cid:durableId="1984768767">
    <w:abstractNumId w:val="10"/>
  </w:num>
  <w:num w:numId="19" w16cid:durableId="2018116514">
    <w:abstractNumId w:val="13"/>
  </w:num>
  <w:num w:numId="20" w16cid:durableId="630286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90CDF"/>
    <w:rsid w:val="00003A62"/>
    <w:rsid w:val="00005D46"/>
    <w:rsid w:val="00006266"/>
    <w:rsid w:val="000064ED"/>
    <w:rsid w:val="00010B9D"/>
    <w:rsid w:val="000164A1"/>
    <w:rsid w:val="00016512"/>
    <w:rsid w:val="00022816"/>
    <w:rsid w:val="00031FC5"/>
    <w:rsid w:val="00037C2D"/>
    <w:rsid w:val="00053C22"/>
    <w:rsid w:val="00054DD0"/>
    <w:rsid w:val="000554CB"/>
    <w:rsid w:val="00062C66"/>
    <w:rsid w:val="00065854"/>
    <w:rsid w:val="00065DBC"/>
    <w:rsid w:val="00073A66"/>
    <w:rsid w:val="00073F6C"/>
    <w:rsid w:val="00075AF9"/>
    <w:rsid w:val="00081C89"/>
    <w:rsid w:val="00087B48"/>
    <w:rsid w:val="00095CDF"/>
    <w:rsid w:val="000A2E6B"/>
    <w:rsid w:val="000A56A3"/>
    <w:rsid w:val="000B1E3F"/>
    <w:rsid w:val="000B4983"/>
    <w:rsid w:val="000C35D2"/>
    <w:rsid w:val="000D2543"/>
    <w:rsid w:val="000D5E9E"/>
    <w:rsid w:val="000E1856"/>
    <w:rsid w:val="000E3081"/>
    <w:rsid w:val="000E6170"/>
    <w:rsid w:val="000F03F0"/>
    <w:rsid w:val="000F4226"/>
    <w:rsid w:val="000F662A"/>
    <w:rsid w:val="00115687"/>
    <w:rsid w:val="00116FCB"/>
    <w:rsid w:val="001217DC"/>
    <w:rsid w:val="00122F60"/>
    <w:rsid w:val="00123A1B"/>
    <w:rsid w:val="00127DEC"/>
    <w:rsid w:val="001321F2"/>
    <w:rsid w:val="00132DD6"/>
    <w:rsid w:val="0013353D"/>
    <w:rsid w:val="001337CA"/>
    <w:rsid w:val="00133E7D"/>
    <w:rsid w:val="001400F5"/>
    <w:rsid w:val="00162141"/>
    <w:rsid w:val="001638B1"/>
    <w:rsid w:val="00163C92"/>
    <w:rsid w:val="00171E98"/>
    <w:rsid w:val="00175F66"/>
    <w:rsid w:val="00177C83"/>
    <w:rsid w:val="00177E74"/>
    <w:rsid w:val="0018044E"/>
    <w:rsid w:val="00182B5F"/>
    <w:rsid w:val="00182E48"/>
    <w:rsid w:val="00183E8E"/>
    <w:rsid w:val="00193895"/>
    <w:rsid w:val="00194E56"/>
    <w:rsid w:val="001A2026"/>
    <w:rsid w:val="001A2F0D"/>
    <w:rsid w:val="001A51A2"/>
    <w:rsid w:val="001B4AA8"/>
    <w:rsid w:val="001C78C1"/>
    <w:rsid w:val="001E23AA"/>
    <w:rsid w:val="001E2EEC"/>
    <w:rsid w:val="001F11D7"/>
    <w:rsid w:val="00201FB9"/>
    <w:rsid w:val="00203E49"/>
    <w:rsid w:val="00204752"/>
    <w:rsid w:val="0020499C"/>
    <w:rsid w:val="0020728B"/>
    <w:rsid w:val="00212CFA"/>
    <w:rsid w:val="00212D35"/>
    <w:rsid w:val="00216181"/>
    <w:rsid w:val="00221B99"/>
    <w:rsid w:val="00222738"/>
    <w:rsid w:val="00224EFC"/>
    <w:rsid w:val="00227061"/>
    <w:rsid w:val="0023048B"/>
    <w:rsid w:val="00231BFB"/>
    <w:rsid w:val="00234AAE"/>
    <w:rsid w:val="00234C5A"/>
    <w:rsid w:val="0023725A"/>
    <w:rsid w:val="002410D6"/>
    <w:rsid w:val="002430D0"/>
    <w:rsid w:val="00246D50"/>
    <w:rsid w:val="002606FE"/>
    <w:rsid w:val="00265600"/>
    <w:rsid w:val="00276058"/>
    <w:rsid w:val="00281AAE"/>
    <w:rsid w:val="002865D2"/>
    <w:rsid w:val="00287BEF"/>
    <w:rsid w:val="00293095"/>
    <w:rsid w:val="00295C02"/>
    <w:rsid w:val="002A1DFC"/>
    <w:rsid w:val="002B3CA0"/>
    <w:rsid w:val="002B5FD1"/>
    <w:rsid w:val="002C393D"/>
    <w:rsid w:val="002C64E2"/>
    <w:rsid w:val="002C7BF0"/>
    <w:rsid w:val="002D050C"/>
    <w:rsid w:val="002D15AD"/>
    <w:rsid w:val="002D7435"/>
    <w:rsid w:val="002E30E6"/>
    <w:rsid w:val="002E5A5D"/>
    <w:rsid w:val="002F35A4"/>
    <w:rsid w:val="002F777B"/>
    <w:rsid w:val="003006BB"/>
    <w:rsid w:val="00302B77"/>
    <w:rsid w:val="00303A45"/>
    <w:rsid w:val="00307CF2"/>
    <w:rsid w:val="00310DFE"/>
    <w:rsid w:val="003151AD"/>
    <w:rsid w:val="00321F3A"/>
    <w:rsid w:val="00327FE8"/>
    <w:rsid w:val="003337EF"/>
    <w:rsid w:val="00336EDF"/>
    <w:rsid w:val="003472BB"/>
    <w:rsid w:val="00353A3A"/>
    <w:rsid w:val="00356B60"/>
    <w:rsid w:val="003570AE"/>
    <w:rsid w:val="00357A27"/>
    <w:rsid w:val="00375929"/>
    <w:rsid w:val="0038069C"/>
    <w:rsid w:val="003822E7"/>
    <w:rsid w:val="003905D7"/>
    <w:rsid w:val="003A56EF"/>
    <w:rsid w:val="003A570F"/>
    <w:rsid w:val="003B0516"/>
    <w:rsid w:val="003D0EAB"/>
    <w:rsid w:val="003D1515"/>
    <w:rsid w:val="003D25D6"/>
    <w:rsid w:val="003D5A64"/>
    <w:rsid w:val="003D6184"/>
    <w:rsid w:val="003D6953"/>
    <w:rsid w:val="003E05F1"/>
    <w:rsid w:val="003E1CA2"/>
    <w:rsid w:val="003E5422"/>
    <w:rsid w:val="003F2BB2"/>
    <w:rsid w:val="003F4CAF"/>
    <w:rsid w:val="003F54D7"/>
    <w:rsid w:val="003F59B0"/>
    <w:rsid w:val="003F677D"/>
    <w:rsid w:val="003F6A34"/>
    <w:rsid w:val="003F7D4E"/>
    <w:rsid w:val="004006F4"/>
    <w:rsid w:val="0040074B"/>
    <w:rsid w:val="00401BF1"/>
    <w:rsid w:val="00402550"/>
    <w:rsid w:val="00407CBA"/>
    <w:rsid w:val="0041174D"/>
    <w:rsid w:val="004163A7"/>
    <w:rsid w:val="0042689A"/>
    <w:rsid w:val="004270B4"/>
    <w:rsid w:val="004270C5"/>
    <w:rsid w:val="00442D64"/>
    <w:rsid w:val="00443DAE"/>
    <w:rsid w:val="00445577"/>
    <w:rsid w:val="0045295B"/>
    <w:rsid w:val="004560D8"/>
    <w:rsid w:val="00457871"/>
    <w:rsid w:val="0047696B"/>
    <w:rsid w:val="004813F5"/>
    <w:rsid w:val="00486364"/>
    <w:rsid w:val="00496C93"/>
    <w:rsid w:val="004A3446"/>
    <w:rsid w:val="004B6AF5"/>
    <w:rsid w:val="004C2BEA"/>
    <w:rsid w:val="004D78DF"/>
    <w:rsid w:val="004F0D8D"/>
    <w:rsid w:val="004F211F"/>
    <w:rsid w:val="004F35A6"/>
    <w:rsid w:val="004F3A25"/>
    <w:rsid w:val="004F66E1"/>
    <w:rsid w:val="004F6831"/>
    <w:rsid w:val="00500541"/>
    <w:rsid w:val="00502E6F"/>
    <w:rsid w:val="005031B2"/>
    <w:rsid w:val="00516D92"/>
    <w:rsid w:val="00521B3C"/>
    <w:rsid w:val="00526942"/>
    <w:rsid w:val="005354D3"/>
    <w:rsid w:val="00541276"/>
    <w:rsid w:val="00544CE2"/>
    <w:rsid w:val="0054745E"/>
    <w:rsid w:val="00550023"/>
    <w:rsid w:val="005500AA"/>
    <w:rsid w:val="0055177A"/>
    <w:rsid w:val="0055383C"/>
    <w:rsid w:val="0055452C"/>
    <w:rsid w:val="00556480"/>
    <w:rsid w:val="00560BDD"/>
    <w:rsid w:val="00560EB6"/>
    <w:rsid w:val="00563011"/>
    <w:rsid w:val="00565F46"/>
    <w:rsid w:val="005660C9"/>
    <w:rsid w:val="005A1882"/>
    <w:rsid w:val="005A517D"/>
    <w:rsid w:val="005A72B6"/>
    <w:rsid w:val="005B20F9"/>
    <w:rsid w:val="005B2DE5"/>
    <w:rsid w:val="005B5A82"/>
    <w:rsid w:val="005B6180"/>
    <w:rsid w:val="005B6787"/>
    <w:rsid w:val="005B6FA2"/>
    <w:rsid w:val="005B772C"/>
    <w:rsid w:val="005C1DE3"/>
    <w:rsid w:val="005C53D9"/>
    <w:rsid w:val="005C62CC"/>
    <w:rsid w:val="005E76B9"/>
    <w:rsid w:val="005F005F"/>
    <w:rsid w:val="005F74FF"/>
    <w:rsid w:val="00601F13"/>
    <w:rsid w:val="00603AF0"/>
    <w:rsid w:val="00605836"/>
    <w:rsid w:val="006176F7"/>
    <w:rsid w:val="006239B3"/>
    <w:rsid w:val="00631569"/>
    <w:rsid w:val="006334E4"/>
    <w:rsid w:val="00640713"/>
    <w:rsid w:val="006417B2"/>
    <w:rsid w:val="00655157"/>
    <w:rsid w:val="00655DC6"/>
    <w:rsid w:val="0065791C"/>
    <w:rsid w:val="006646FD"/>
    <w:rsid w:val="006662C6"/>
    <w:rsid w:val="00671FC1"/>
    <w:rsid w:val="006734DA"/>
    <w:rsid w:val="00673D04"/>
    <w:rsid w:val="00681574"/>
    <w:rsid w:val="00693356"/>
    <w:rsid w:val="006A1FD3"/>
    <w:rsid w:val="006A5874"/>
    <w:rsid w:val="006B0BC6"/>
    <w:rsid w:val="006B257E"/>
    <w:rsid w:val="006B2E4C"/>
    <w:rsid w:val="006B37A3"/>
    <w:rsid w:val="006C1385"/>
    <w:rsid w:val="006C1E4F"/>
    <w:rsid w:val="006C303D"/>
    <w:rsid w:val="006C32E1"/>
    <w:rsid w:val="006C3ACC"/>
    <w:rsid w:val="006C3B2F"/>
    <w:rsid w:val="006C4D01"/>
    <w:rsid w:val="00713A88"/>
    <w:rsid w:val="00720439"/>
    <w:rsid w:val="00725611"/>
    <w:rsid w:val="00731464"/>
    <w:rsid w:val="007330E7"/>
    <w:rsid w:val="0073577C"/>
    <w:rsid w:val="00745677"/>
    <w:rsid w:val="0074665C"/>
    <w:rsid w:val="007525A1"/>
    <w:rsid w:val="007530ED"/>
    <w:rsid w:val="00753C6B"/>
    <w:rsid w:val="00757B9D"/>
    <w:rsid w:val="0076074D"/>
    <w:rsid w:val="0076323A"/>
    <w:rsid w:val="007648E8"/>
    <w:rsid w:val="00765DCF"/>
    <w:rsid w:val="007714EE"/>
    <w:rsid w:val="00773169"/>
    <w:rsid w:val="00776D99"/>
    <w:rsid w:val="007804E8"/>
    <w:rsid w:val="00781732"/>
    <w:rsid w:val="00784B47"/>
    <w:rsid w:val="00793048"/>
    <w:rsid w:val="00795D7D"/>
    <w:rsid w:val="007969AD"/>
    <w:rsid w:val="007973FC"/>
    <w:rsid w:val="00797825"/>
    <w:rsid w:val="007A2E15"/>
    <w:rsid w:val="007A6D11"/>
    <w:rsid w:val="007B5D1B"/>
    <w:rsid w:val="007C1CBA"/>
    <w:rsid w:val="007C3CB3"/>
    <w:rsid w:val="007C6FFD"/>
    <w:rsid w:val="007E0D8F"/>
    <w:rsid w:val="007E723E"/>
    <w:rsid w:val="007F0936"/>
    <w:rsid w:val="007F5275"/>
    <w:rsid w:val="00801B48"/>
    <w:rsid w:val="00804486"/>
    <w:rsid w:val="0080454C"/>
    <w:rsid w:val="008120C6"/>
    <w:rsid w:val="00814CE9"/>
    <w:rsid w:val="00821922"/>
    <w:rsid w:val="00822E85"/>
    <w:rsid w:val="008340D9"/>
    <w:rsid w:val="00840CF7"/>
    <w:rsid w:val="00843072"/>
    <w:rsid w:val="00844197"/>
    <w:rsid w:val="00847CAB"/>
    <w:rsid w:val="00854778"/>
    <w:rsid w:val="00862A9E"/>
    <w:rsid w:val="00864D04"/>
    <w:rsid w:val="008660C1"/>
    <w:rsid w:val="008738D2"/>
    <w:rsid w:val="00874C1A"/>
    <w:rsid w:val="00877A95"/>
    <w:rsid w:val="00882F07"/>
    <w:rsid w:val="00883836"/>
    <w:rsid w:val="00885CC7"/>
    <w:rsid w:val="00885FB9"/>
    <w:rsid w:val="008957A4"/>
    <w:rsid w:val="008A2056"/>
    <w:rsid w:val="008B012F"/>
    <w:rsid w:val="008C3740"/>
    <w:rsid w:val="008C3928"/>
    <w:rsid w:val="008C48AD"/>
    <w:rsid w:val="008D5BE7"/>
    <w:rsid w:val="008D6884"/>
    <w:rsid w:val="008E718D"/>
    <w:rsid w:val="008F1C7A"/>
    <w:rsid w:val="008F50D6"/>
    <w:rsid w:val="008F5EDF"/>
    <w:rsid w:val="00903A3E"/>
    <w:rsid w:val="00911FBB"/>
    <w:rsid w:val="00913453"/>
    <w:rsid w:val="009538B9"/>
    <w:rsid w:val="0095700C"/>
    <w:rsid w:val="0096073B"/>
    <w:rsid w:val="00962880"/>
    <w:rsid w:val="0096486E"/>
    <w:rsid w:val="009716DD"/>
    <w:rsid w:val="0097681F"/>
    <w:rsid w:val="0098245E"/>
    <w:rsid w:val="00982B93"/>
    <w:rsid w:val="00983CA1"/>
    <w:rsid w:val="0098420A"/>
    <w:rsid w:val="0099389B"/>
    <w:rsid w:val="00994C1E"/>
    <w:rsid w:val="009A03A4"/>
    <w:rsid w:val="009B1B65"/>
    <w:rsid w:val="009B2889"/>
    <w:rsid w:val="009B2F36"/>
    <w:rsid w:val="009B5D79"/>
    <w:rsid w:val="009B61AE"/>
    <w:rsid w:val="009B7D60"/>
    <w:rsid w:val="009E1BA6"/>
    <w:rsid w:val="009E37D2"/>
    <w:rsid w:val="009E676A"/>
    <w:rsid w:val="009E684C"/>
    <w:rsid w:val="00A026B9"/>
    <w:rsid w:val="00A03B0B"/>
    <w:rsid w:val="00A04612"/>
    <w:rsid w:val="00A04652"/>
    <w:rsid w:val="00A05198"/>
    <w:rsid w:val="00A074FE"/>
    <w:rsid w:val="00A1591E"/>
    <w:rsid w:val="00A23274"/>
    <w:rsid w:val="00A25777"/>
    <w:rsid w:val="00A31741"/>
    <w:rsid w:val="00A43747"/>
    <w:rsid w:val="00A45A7B"/>
    <w:rsid w:val="00A4672E"/>
    <w:rsid w:val="00A60443"/>
    <w:rsid w:val="00A638A3"/>
    <w:rsid w:val="00A643D8"/>
    <w:rsid w:val="00A649DA"/>
    <w:rsid w:val="00A711D2"/>
    <w:rsid w:val="00A71D69"/>
    <w:rsid w:val="00A73B3D"/>
    <w:rsid w:val="00A73DEB"/>
    <w:rsid w:val="00A75C36"/>
    <w:rsid w:val="00A76B28"/>
    <w:rsid w:val="00A811B8"/>
    <w:rsid w:val="00A84FD8"/>
    <w:rsid w:val="00A86615"/>
    <w:rsid w:val="00A90CDF"/>
    <w:rsid w:val="00A91B7E"/>
    <w:rsid w:val="00AA0331"/>
    <w:rsid w:val="00AA2EE2"/>
    <w:rsid w:val="00AA2F28"/>
    <w:rsid w:val="00AA4F76"/>
    <w:rsid w:val="00AC671D"/>
    <w:rsid w:val="00AC7B67"/>
    <w:rsid w:val="00AD5B5A"/>
    <w:rsid w:val="00AE293E"/>
    <w:rsid w:val="00AF419A"/>
    <w:rsid w:val="00AF6044"/>
    <w:rsid w:val="00B12826"/>
    <w:rsid w:val="00B16985"/>
    <w:rsid w:val="00B266C7"/>
    <w:rsid w:val="00B357BC"/>
    <w:rsid w:val="00B40414"/>
    <w:rsid w:val="00B436D7"/>
    <w:rsid w:val="00B53B89"/>
    <w:rsid w:val="00B5433F"/>
    <w:rsid w:val="00B5582D"/>
    <w:rsid w:val="00B5675A"/>
    <w:rsid w:val="00B634A6"/>
    <w:rsid w:val="00B7199F"/>
    <w:rsid w:val="00B726CB"/>
    <w:rsid w:val="00B74CC2"/>
    <w:rsid w:val="00B83896"/>
    <w:rsid w:val="00B92F98"/>
    <w:rsid w:val="00B93116"/>
    <w:rsid w:val="00B93FD4"/>
    <w:rsid w:val="00B941DD"/>
    <w:rsid w:val="00B94ED7"/>
    <w:rsid w:val="00B95518"/>
    <w:rsid w:val="00B95B35"/>
    <w:rsid w:val="00B97B9D"/>
    <w:rsid w:val="00BA4917"/>
    <w:rsid w:val="00BB768B"/>
    <w:rsid w:val="00BC002E"/>
    <w:rsid w:val="00BC3A6C"/>
    <w:rsid w:val="00BC57EF"/>
    <w:rsid w:val="00BD1B1A"/>
    <w:rsid w:val="00BD31D9"/>
    <w:rsid w:val="00BD3D13"/>
    <w:rsid w:val="00BE0339"/>
    <w:rsid w:val="00BE5688"/>
    <w:rsid w:val="00BF20E5"/>
    <w:rsid w:val="00BF337D"/>
    <w:rsid w:val="00BF379C"/>
    <w:rsid w:val="00BF4319"/>
    <w:rsid w:val="00BF4B73"/>
    <w:rsid w:val="00C06B7C"/>
    <w:rsid w:val="00C078D1"/>
    <w:rsid w:val="00C07FA0"/>
    <w:rsid w:val="00C10FDC"/>
    <w:rsid w:val="00C1194D"/>
    <w:rsid w:val="00C11E92"/>
    <w:rsid w:val="00C21431"/>
    <w:rsid w:val="00C30935"/>
    <w:rsid w:val="00C31E4D"/>
    <w:rsid w:val="00C32B44"/>
    <w:rsid w:val="00C35148"/>
    <w:rsid w:val="00C35CFE"/>
    <w:rsid w:val="00C37F3C"/>
    <w:rsid w:val="00C42766"/>
    <w:rsid w:val="00C54B25"/>
    <w:rsid w:val="00C54C13"/>
    <w:rsid w:val="00C62230"/>
    <w:rsid w:val="00C81FAB"/>
    <w:rsid w:val="00C84B7D"/>
    <w:rsid w:val="00C913C3"/>
    <w:rsid w:val="00C957B7"/>
    <w:rsid w:val="00CA6399"/>
    <w:rsid w:val="00CA7698"/>
    <w:rsid w:val="00CC369A"/>
    <w:rsid w:val="00CD62F5"/>
    <w:rsid w:val="00CE28D8"/>
    <w:rsid w:val="00CF037A"/>
    <w:rsid w:val="00CF360B"/>
    <w:rsid w:val="00CF6995"/>
    <w:rsid w:val="00D02AD1"/>
    <w:rsid w:val="00D05481"/>
    <w:rsid w:val="00D307AA"/>
    <w:rsid w:val="00D321F4"/>
    <w:rsid w:val="00D341D2"/>
    <w:rsid w:val="00D37D55"/>
    <w:rsid w:val="00D41A30"/>
    <w:rsid w:val="00D4599B"/>
    <w:rsid w:val="00D466C2"/>
    <w:rsid w:val="00D52846"/>
    <w:rsid w:val="00D542C1"/>
    <w:rsid w:val="00D6073D"/>
    <w:rsid w:val="00D60B8E"/>
    <w:rsid w:val="00D61464"/>
    <w:rsid w:val="00D70C59"/>
    <w:rsid w:val="00D72543"/>
    <w:rsid w:val="00D73F55"/>
    <w:rsid w:val="00D77984"/>
    <w:rsid w:val="00D817DB"/>
    <w:rsid w:val="00D85CD6"/>
    <w:rsid w:val="00D868FB"/>
    <w:rsid w:val="00D946F1"/>
    <w:rsid w:val="00DA35D7"/>
    <w:rsid w:val="00DA56D5"/>
    <w:rsid w:val="00DC07A1"/>
    <w:rsid w:val="00DC0D25"/>
    <w:rsid w:val="00DC2A1A"/>
    <w:rsid w:val="00DC3F49"/>
    <w:rsid w:val="00DC7070"/>
    <w:rsid w:val="00DD0A33"/>
    <w:rsid w:val="00DD53BE"/>
    <w:rsid w:val="00DD5823"/>
    <w:rsid w:val="00DE5DF0"/>
    <w:rsid w:val="00DF2320"/>
    <w:rsid w:val="00E17D73"/>
    <w:rsid w:val="00E2105F"/>
    <w:rsid w:val="00E23869"/>
    <w:rsid w:val="00E315A8"/>
    <w:rsid w:val="00E328CA"/>
    <w:rsid w:val="00E35144"/>
    <w:rsid w:val="00E3610D"/>
    <w:rsid w:val="00E36988"/>
    <w:rsid w:val="00E616A0"/>
    <w:rsid w:val="00E62E29"/>
    <w:rsid w:val="00E739AF"/>
    <w:rsid w:val="00E76F98"/>
    <w:rsid w:val="00E85B4D"/>
    <w:rsid w:val="00E9185C"/>
    <w:rsid w:val="00E93FCB"/>
    <w:rsid w:val="00E948FE"/>
    <w:rsid w:val="00EA1DD4"/>
    <w:rsid w:val="00EA4D10"/>
    <w:rsid w:val="00EA5A2D"/>
    <w:rsid w:val="00EB242A"/>
    <w:rsid w:val="00EB5327"/>
    <w:rsid w:val="00EC41AF"/>
    <w:rsid w:val="00EC7FC3"/>
    <w:rsid w:val="00ED03E0"/>
    <w:rsid w:val="00ED7467"/>
    <w:rsid w:val="00ED793A"/>
    <w:rsid w:val="00EE2048"/>
    <w:rsid w:val="00EE388A"/>
    <w:rsid w:val="00EE4ACA"/>
    <w:rsid w:val="00EE6782"/>
    <w:rsid w:val="00EE76F2"/>
    <w:rsid w:val="00EF1D5F"/>
    <w:rsid w:val="00F047A9"/>
    <w:rsid w:val="00F06CE1"/>
    <w:rsid w:val="00F15589"/>
    <w:rsid w:val="00F2044E"/>
    <w:rsid w:val="00F23A60"/>
    <w:rsid w:val="00F23BC6"/>
    <w:rsid w:val="00F2799C"/>
    <w:rsid w:val="00F47036"/>
    <w:rsid w:val="00F52634"/>
    <w:rsid w:val="00F530BE"/>
    <w:rsid w:val="00F5761D"/>
    <w:rsid w:val="00F60A05"/>
    <w:rsid w:val="00F619EE"/>
    <w:rsid w:val="00F62118"/>
    <w:rsid w:val="00F65354"/>
    <w:rsid w:val="00F728D8"/>
    <w:rsid w:val="00F72F04"/>
    <w:rsid w:val="00F7399A"/>
    <w:rsid w:val="00F73CE5"/>
    <w:rsid w:val="00F83F37"/>
    <w:rsid w:val="00F840AF"/>
    <w:rsid w:val="00F85247"/>
    <w:rsid w:val="00F86F65"/>
    <w:rsid w:val="00F91E84"/>
    <w:rsid w:val="00FA14F9"/>
    <w:rsid w:val="00FA2BA4"/>
    <w:rsid w:val="00FA3F9A"/>
    <w:rsid w:val="00FA3FC6"/>
    <w:rsid w:val="00FD387A"/>
    <w:rsid w:val="00FD5506"/>
    <w:rsid w:val="00FD69D6"/>
    <w:rsid w:val="00FE72A4"/>
    <w:rsid w:val="00FE731D"/>
    <w:rsid w:val="00FF6ED4"/>
    <w:rsid w:val="03C5B768"/>
    <w:rsid w:val="048ACA16"/>
    <w:rsid w:val="0584C4A8"/>
    <w:rsid w:val="07AF5D7B"/>
    <w:rsid w:val="07DF6754"/>
    <w:rsid w:val="09C29646"/>
    <w:rsid w:val="09CD32E7"/>
    <w:rsid w:val="0DED2687"/>
    <w:rsid w:val="1123380D"/>
    <w:rsid w:val="14785EBF"/>
    <w:rsid w:val="148D2B25"/>
    <w:rsid w:val="15EE6E7F"/>
    <w:rsid w:val="17EDC509"/>
    <w:rsid w:val="1C5BF12A"/>
    <w:rsid w:val="1C6E475D"/>
    <w:rsid w:val="1EB20935"/>
    <w:rsid w:val="21368C57"/>
    <w:rsid w:val="25CF1CE5"/>
    <w:rsid w:val="26CC999F"/>
    <w:rsid w:val="26E115F7"/>
    <w:rsid w:val="282B45D3"/>
    <w:rsid w:val="2A441C3C"/>
    <w:rsid w:val="2A8E7C5B"/>
    <w:rsid w:val="2DAC5AB1"/>
    <w:rsid w:val="2F1C09AE"/>
    <w:rsid w:val="2F302EC4"/>
    <w:rsid w:val="2F73A687"/>
    <w:rsid w:val="30267FCD"/>
    <w:rsid w:val="304EE4BB"/>
    <w:rsid w:val="36F5855C"/>
    <w:rsid w:val="39C9E229"/>
    <w:rsid w:val="3B0BFE3F"/>
    <w:rsid w:val="3D73C417"/>
    <w:rsid w:val="3FB1947D"/>
    <w:rsid w:val="40D42778"/>
    <w:rsid w:val="44731ABA"/>
    <w:rsid w:val="453902FD"/>
    <w:rsid w:val="46A58557"/>
    <w:rsid w:val="4CF42CF8"/>
    <w:rsid w:val="4E26C70F"/>
    <w:rsid w:val="50DBBC71"/>
    <w:rsid w:val="52AC0CF3"/>
    <w:rsid w:val="5843CA1C"/>
    <w:rsid w:val="5BED9AD7"/>
    <w:rsid w:val="5D494B0A"/>
    <w:rsid w:val="5FEBF09F"/>
    <w:rsid w:val="64554FA5"/>
    <w:rsid w:val="67C9E58C"/>
    <w:rsid w:val="6839E20C"/>
    <w:rsid w:val="6BC781F1"/>
    <w:rsid w:val="7155FC05"/>
    <w:rsid w:val="7330866F"/>
    <w:rsid w:val="773C27FE"/>
    <w:rsid w:val="796B0457"/>
    <w:rsid w:val="7A947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6A74B"/>
  <w15:chartTrackingRefBased/>
  <w15:docId w15:val="{C7879380-209E-4DD1-B814-5C679CA47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T Norms Pro" w:eastAsiaTheme="minorHAnsi" w:hAnsi="TT Norms Pro"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3A7"/>
  </w:style>
  <w:style w:type="paragraph" w:styleId="Heading1">
    <w:name w:val="heading 1"/>
    <w:basedOn w:val="Normal"/>
    <w:next w:val="Normal"/>
    <w:link w:val="Heading1Char"/>
    <w:uiPriority w:val="9"/>
    <w:qFormat/>
    <w:rsid w:val="00A90C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0C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0CD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0CD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90CD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90CD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90CD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90CD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90CD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C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0C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0CD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0CD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90CD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90CD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90CD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90CD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90CD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90C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0C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0CD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0CD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90CDF"/>
    <w:pPr>
      <w:spacing w:before="160"/>
      <w:jc w:val="center"/>
    </w:pPr>
    <w:rPr>
      <w:i/>
      <w:iCs/>
      <w:color w:val="404040" w:themeColor="text1" w:themeTint="BF"/>
    </w:rPr>
  </w:style>
  <w:style w:type="character" w:customStyle="1" w:styleId="QuoteChar">
    <w:name w:val="Quote Char"/>
    <w:basedOn w:val="DefaultParagraphFont"/>
    <w:link w:val="Quote"/>
    <w:uiPriority w:val="29"/>
    <w:rsid w:val="00A90CDF"/>
    <w:rPr>
      <w:i/>
      <w:iCs/>
      <w:color w:val="404040" w:themeColor="text1" w:themeTint="BF"/>
    </w:rPr>
  </w:style>
  <w:style w:type="paragraph" w:styleId="ListParagraph">
    <w:name w:val="List Paragraph"/>
    <w:basedOn w:val="Normal"/>
    <w:uiPriority w:val="34"/>
    <w:qFormat/>
    <w:rsid w:val="00A90CDF"/>
    <w:pPr>
      <w:ind w:left="720"/>
      <w:contextualSpacing/>
    </w:pPr>
  </w:style>
  <w:style w:type="character" w:styleId="IntenseEmphasis">
    <w:name w:val="Intense Emphasis"/>
    <w:basedOn w:val="DefaultParagraphFont"/>
    <w:uiPriority w:val="21"/>
    <w:qFormat/>
    <w:rsid w:val="00A90CDF"/>
    <w:rPr>
      <w:i/>
      <w:iCs/>
      <w:color w:val="0F4761" w:themeColor="accent1" w:themeShade="BF"/>
    </w:rPr>
  </w:style>
  <w:style w:type="paragraph" w:styleId="IntenseQuote">
    <w:name w:val="Intense Quote"/>
    <w:basedOn w:val="Normal"/>
    <w:next w:val="Normal"/>
    <w:link w:val="IntenseQuoteChar"/>
    <w:uiPriority w:val="30"/>
    <w:qFormat/>
    <w:rsid w:val="00A90C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0CDF"/>
    <w:rPr>
      <w:i/>
      <w:iCs/>
      <w:color w:val="0F4761" w:themeColor="accent1" w:themeShade="BF"/>
    </w:rPr>
  </w:style>
  <w:style w:type="character" w:styleId="IntenseReference">
    <w:name w:val="Intense Reference"/>
    <w:basedOn w:val="DefaultParagraphFont"/>
    <w:uiPriority w:val="32"/>
    <w:qFormat/>
    <w:rsid w:val="00A90CDF"/>
    <w:rPr>
      <w:b/>
      <w:bCs/>
      <w:smallCaps/>
      <w:color w:val="0F4761" w:themeColor="accent1" w:themeShade="BF"/>
      <w:spacing w:val="5"/>
    </w:rPr>
  </w:style>
  <w:style w:type="paragraph" w:styleId="Header">
    <w:name w:val="header"/>
    <w:basedOn w:val="Normal"/>
    <w:link w:val="HeaderChar"/>
    <w:uiPriority w:val="99"/>
    <w:unhideWhenUsed/>
    <w:rsid w:val="00B94E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4ED7"/>
  </w:style>
  <w:style w:type="paragraph" w:styleId="Footer">
    <w:name w:val="footer"/>
    <w:basedOn w:val="Normal"/>
    <w:link w:val="FooterChar"/>
    <w:uiPriority w:val="99"/>
    <w:unhideWhenUsed/>
    <w:rsid w:val="00B94E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B94ED7"/>
  </w:style>
  <w:style w:type="character" w:customStyle="1" w:styleId="wacimagecontainer">
    <w:name w:val="wacimagecontainer"/>
    <w:basedOn w:val="DefaultParagraphFont"/>
    <w:rsid w:val="00B94ED7"/>
  </w:style>
  <w:style w:type="paragraph" w:styleId="FootnoteText">
    <w:name w:val="footnote text"/>
    <w:basedOn w:val="Normal"/>
    <w:link w:val="FootnoteTextChar"/>
    <w:uiPriority w:val="99"/>
    <w:unhideWhenUsed/>
    <w:rsid w:val="00757B9D"/>
    <w:pPr>
      <w:spacing w:after="0" w:line="240" w:lineRule="auto"/>
    </w:pPr>
    <w:rPr>
      <w:sz w:val="20"/>
      <w:szCs w:val="20"/>
    </w:rPr>
  </w:style>
  <w:style w:type="character" w:customStyle="1" w:styleId="FootnoteTextChar">
    <w:name w:val="Footnote Text Char"/>
    <w:basedOn w:val="DefaultParagraphFont"/>
    <w:link w:val="FootnoteText"/>
    <w:uiPriority w:val="99"/>
    <w:rsid w:val="00757B9D"/>
    <w:rPr>
      <w:sz w:val="20"/>
      <w:szCs w:val="20"/>
    </w:rPr>
  </w:style>
  <w:style w:type="character" w:styleId="FootnoteReference">
    <w:name w:val="footnote reference"/>
    <w:basedOn w:val="DefaultParagraphFont"/>
    <w:uiPriority w:val="99"/>
    <w:unhideWhenUsed/>
    <w:rsid w:val="00757B9D"/>
    <w:rPr>
      <w:vertAlign w:val="superscript"/>
    </w:rPr>
  </w:style>
  <w:style w:type="paragraph" w:styleId="CommentText">
    <w:name w:val="annotation text"/>
    <w:basedOn w:val="Normal"/>
    <w:link w:val="CommentTextChar"/>
    <w:uiPriority w:val="99"/>
    <w:unhideWhenUsed/>
    <w:rsid w:val="00D817DB"/>
    <w:pPr>
      <w:spacing w:line="240" w:lineRule="auto"/>
    </w:pPr>
    <w:rPr>
      <w:sz w:val="20"/>
      <w:szCs w:val="20"/>
    </w:rPr>
  </w:style>
  <w:style w:type="character" w:customStyle="1" w:styleId="CommentTextChar">
    <w:name w:val="Comment Text Char"/>
    <w:basedOn w:val="DefaultParagraphFont"/>
    <w:link w:val="CommentText"/>
    <w:uiPriority w:val="99"/>
    <w:rsid w:val="00D817DB"/>
    <w:rPr>
      <w:sz w:val="20"/>
      <w:szCs w:val="20"/>
    </w:rPr>
  </w:style>
  <w:style w:type="character" w:styleId="CommentReference">
    <w:name w:val="annotation reference"/>
    <w:basedOn w:val="DefaultParagraphFont"/>
    <w:uiPriority w:val="99"/>
    <w:semiHidden/>
    <w:unhideWhenUsed/>
    <w:rsid w:val="00D817DB"/>
    <w:rPr>
      <w:sz w:val="16"/>
      <w:szCs w:val="16"/>
    </w:rPr>
  </w:style>
  <w:style w:type="character" w:styleId="Mention">
    <w:name w:val="Mention"/>
    <w:basedOn w:val="DefaultParagraphFont"/>
    <w:uiPriority w:val="99"/>
    <w:unhideWhenUsed/>
    <w:rsid w:val="00D817DB"/>
    <w:rPr>
      <w:color w:val="2B579A"/>
      <w:shd w:val="clear" w:color="auto" w:fill="E1DFDD"/>
    </w:rPr>
  </w:style>
  <w:style w:type="character" w:styleId="Hyperlink">
    <w:name w:val="Hyperlink"/>
    <w:basedOn w:val="DefaultParagraphFont"/>
    <w:uiPriority w:val="99"/>
    <w:unhideWhenUsed/>
    <w:rsid w:val="001C78C1"/>
    <w:rPr>
      <w:color w:val="467886" w:themeColor="hyperlink"/>
      <w:u w:val="single"/>
    </w:rPr>
  </w:style>
  <w:style w:type="character" w:styleId="UnresolvedMention">
    <w:name w:val="Unresolved Mention"/>
    <w:basedOn w:val="DefaultParagraphFont"/>
    <w:uiPriority w:val="99"/>
    <w:semiHidden/>
    <w:unhideWhenUsed/>
    <w:rsid w:val="002B5FD1"/>
    <w:rPr>
      <w:color w:val="605E5C"/>
      <w:shd w:val="clear" w:color="auto" w:fill="E1DFDD"/>
    </w:rPr>
  </w:style>
  <w:style w:type="character" w:styleId="FollowedHyperlink">
    <w:name w:val="FollowedHyperlink"/>
    <w:basedOn w:val="DefaultParagraphFont"/>
    <w:uiPriority w:val="99"/>
    <w:semiHidden/>
    <w:unhideWhenUsed/>
    <w:rsid w:val="00F5761D"/>
    <w:rPr>
      <w:color w:val="96607D" w:themeColor="followedHyperlink"/>
      <w:u w:val="single"/>
    </w:rPr>
  </w:style>
  <w:style w:type="character" w:customStyle="1" w:styleId="normaltextrun">
    <w:name w:val="normaltextrun"/>
    <w:basedOn w:val="DefaultParagraphFont"/>
    <w:uiPriority w:val="1"/>
    <w:rsid w:val="00AF6044"/>
    <w:rPr>
      <w:rFonts w:asciiTheme="minorHAnsi" w:eastAsiaTheme="minorEastAsia" w:hAnsiTheme="minorHAnsi" w:cstheme="minorBidi"/>
      <w:sz w:val="24"/>
      <w:szCs w:val="24"/>
    </w:rPr>
  </w:style>
  <w:style w:type="paragraph" w:styleId="CommentSubject">
    <w:name w:val="annotation subject"/>
    <w:basedOn w:val="CommentText"/>
    <w:next w:val="CommentText"/>
    <w:link w:val="CommentSubjectChar"/>
    <w:uiPriority w:val="99"/>
    <w:semiHidden/>
    <w:unhideWhenUsed/>
    <w:rsid w:val="00801B48"/>
    <w:rPr>
      <w:b/>
      <w:bCs/>
    </w:rPr>
  </w:style>
  <w:style w:type="character" w:customStyle="1" w:styleId="CommentSubjectChar">
    <w:name w:val="Comment Subject Char"/>
    <w:basedOn w:val="CommentTextChar"/>
    <w:link w:val="CommentSubject"/>
    <w:uiPriority w:val="99"/>
    <w:semiHidden/>
    <w:rsid w:val="00801B48"/>
    <w:rPr>
      <w:b/>
      <w:bCs/>
      <w:sz w:val="20"/>
      <w:szCs w:val="20"/>
    </w:rPr>
  </w:style>
  <w:style w:type="paragraph" w:styleId="NormalWeb">
    <w:name w:val="Normal (Web)"/>
    <w:basedOn w:val="Normal"/>
    <w:uiPriority w:val="99"/>
    <w:semiHidden/>
    <w:unhideWhenUsed/>
    <w:rsid w:val="00D85CD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enny.russon@mcsfoundation.org.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cscertified.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3" Type="http://schemas.openxmlformats.org/officeDocument/2006/relationships/hyperlink" Target="https://www.regen.co.uk/insights/end-to-end-connections-review-a-framework-for-publication-of-lct-connections-data" TargetMode="External"/><Relationship Id="rId18" Type="http://schemas.openxmlformats.org/officeDocument/2006/relationships/hyperlink" Target="https://www.londoncouncils.gov.uk/sites/default/files/2024-05/retrofit_delivery_plan_for_london_full_report.pdf" TargetMode="External"/><Relationship Id="rId26" Type="http://schemas.openxmlformats.org/officeDocument/2006/relationships/hyperlink" Target="https://edol.uk/Research/Labs/Heat/Sofia_MSc_Thesis.html" TargetMode="External"/><Relationship Id="rId21" Type="http://schemas.openxmlformats.org/officeDocument/2006/relationships/hyperlink" Target="https://assets.publishing.service.gov.uk/media/6475f1685f7bb7000c7fa176/Consumer_protection_in_the_green_heating_and_insulation_sector_-_Final_report.pdf" TargetMode="External"/><Relationship Id="rId34" Type="http://schemas.openxmlformats.org/officeDocument/2006/relationships/hyperlink" Target="https://mcsfoundation.org.uk/wp-content/uploads/2026/01/MCSF-Scotland-Survey-Report-2025-FINAL.pdf" TargetMode="External"/><Relationship Id="rId7" Type="http://schemas.openxmlformats.org/officeDocument/2006/relationships/hyperlink" Target="https://www.cornwall-insight.com/files/the-power-of-flex-rewarding-smarter-energy-usage-1-64ee8489.pdf" TargetMode="External"/><Relationship Id="rId12" Type="http://schemas.openxmlformats.org/officeDocument/2006/relationships/hyperlink" Target="https://ukerc.ac.uk/publications/planning-works-local-energy-planning-to-accelerate-net-zero/" TargetMode="External"/><Relationship Id="rId17" Type="http://schemas.openxmlformats.org/officeDocument/2006/relationships/hyperlink" Target="https://www.e3g.org/wp-content/uploads/2023_07-locally-led-retrofit-report.pdf" TargetMode="External"/><Relationship Id="rId25" Type="http://schemas.openxmlformats.org/officeDocument/2006/relationships/hyperlink" Target="https://innovation.ukpowernetworks.co.uk/projects/smarter-network-storage-sns" TargetMode="External"/><Relationship Id="rId33" Type="http://schemas.openxmlformats.org/officeDocument/2006/relationships/hyperlink" Target="https://mcsfoundation.org.uk/wp-content/uploads/2025/06/MCSF-Attitudes-to-Retrofit-Finance-Report-2025.pdf" TargetMode="External"/><Relationship Id="rId38" Type="http://schemas.openxmlformats.org/officeDocument/2006/relationships/hyperlink" Target="https://mcsfoundation.org.uk/wp-content/uploads/2025/08/MCSF-Engaging-households-in-DSR-Report-2025-final-1.pdf" TargetMode="External"/><Relationship Id="rId2" Type="http://schemas.openxmlformats.org/officeDocument/2006/relationships/hyperlink" Target="https://www.regen.co.uk/insights/electrification-the-local-grid-challenge" TargetMode="External"/><Relationship Id="rId16" Type="http://schemas.openxmlformats.org/officeDocument/2006/relationships/hyperlink" Target="https://www.ofgem.gov.uk/sites/default/files/2023-09/2022-23%20SECV%20Panel%20Report%20Update.pdf" TargetMode="External"/><Relationship Id="rId20" Type="http://schemas.openxmlformats.org/officeDocument/2006/relationships/hyperlink" Target="https://www.ofgem.gov.uk/sites/default/files/2025-12/Enhancing%20asset%20visibility%20-%20Distribution%20Network%20Operator%20Options%20consultation.pdf" TargetMode="External"/><Relationship Id="rId29" Type="http://schemas.openxmlformats.org/officeDocument/2006/relationships/hyperlink" Target="https://mcsfoundation.org.uk/wp-content/uploads/2025/06/MCSF-Attitudes-to-Retrofit-Finance-Report-2025.pdf" TargetMode="External"/><Relationship Id="rId1" Type="http://schemas.openxmlformats.org/officeDocument/2006/relationships/hyperlink" Target="https://www.ofgem.gov.uk/sites/default/files/2025-04/ED3-Framework-Decision.pdf" TargetMode="External"/><Relationship Id="rId6" Type="http://schemas.openxmlformats.org/officeDocument/2006/relationships/hyperlink" Target="https://oerc.ox.ac.uk/news/managing-the-load-profile-study-shows-heat-pumps-cut-energy-use-but-increase-peak-demand" TargetMode="External"/><Relationship Id="rId11" Type="http://schemas.openxmlformats.org/officeDocument/2006/relationships/hyperlink" Target="https://www.bi.team/publications/empowering-flexibility-unlocking-consumer-engagement-in-demand-flexibility/" TargetMode="External"/><Relationship Id="rId24" Type="http://schemas.openxmlformats.org/officeDocument/2006/relationships/hyperlink" Target="https://mcsfoundation.org.uk/wp-content/uploads/2025/08/MCSF-Engaging-households-in-DSR-Report-2025-final-1.pdf" TargetMode="External"/><Relationship Id="rId32" Type="http://schemas.openxmlformats.org/officeDocument/2006/relationships/hyperlink" Target="https://mcsfoundation.org.uk/wp-content/uploads/2025/06/MCSF-Attitudes-to-Retrofit-Finance-Report-2025.pdf" TargetMode="External"/><Relationship Id="rId37" Type="http://schemas.openxmlformats.org/officeDocument/2006/relationships/hyperlink" Target="https://www.sciencedirect.com/science/article/abs/pii/S0016718514000931?casa_token=ojxZF95lgEwAAAAA:JDIA3vk6WaIB7xdVWYX7Y0e0JO0IYTQex8yVzwW-QFTZMiXMn7iK4BllEeXdB7l4-Gc0V25wpQ" TargetMode="External"/><Relationship Id="rId5" Type="http://schemas.openxmlformats.org/officeDocument/2006/relationships/hyperlink" Target="https://www.nesta.org.uk/report/heatflex-the-untapped-potential-of-automated-heat-pump-flexibility/" TargetMode="External"/><Relationship Id="rId15" Type="http://schemas.openxmlformats.org/officeDocument/2006/relationships/hyperlink" Target="https://smarter.energynetworks.org/projects/10061348/" TargetMode="External"/><Relationship Id="rId23" Type="http://schemas.openxmlformats.org/officeDocument/2006/relationships/hyperlink" Target="https://www.cornwall-insight.com/wp-content/uploads/2023/08/The-power-of-flex-Rewarding-smarter-energy-usage-1.pdf?utm_source=website&amp;utm_medium=website" TargetMode="External"/><Relationship Id="rId28" Type="http://schemas.openxmlformats.org/officeDocument/2006/relationships/hyperlink" Target="https://mcsfoundation.org.uk/wp-content/uploads/2025/08/MCSF-Engaging-households-in-DSR-Report-2025-final-1.pdf" TargetMode="External"/><Relationship Id="rId36" Type="http://schemas.openxmlformats.org/officeDocument/2006/relationships/hyperlink" Target="https://media.nesta.org.uk/documents/Clean_heat_-_coordinating_the_switch_street_by_street.pdf" TargetMode="External"/><Relationship Id="rId10" Type="http://schemas.openxmlformats.org/officeDocument/2006/relationships/hyperlink" Target="https://www.sciencedirect.com/science/article/pii/S2214629615300463" TargetMode="External"/><Relationship Id="rId19" Type="http://schemas.openxmlformats.org/officeDocument/2006/relationships/hyperlink" Target="https://www.londoncouncils.gov.uk/sites/default/files/2024-05/retrofit_delivery_plan_for_london_full_report.pdf" TargetMode="External"/><Relationship Id="rId31" Type="http://schemas.openxmlformats.org/officeDocument/2006/relationships/hyperlink" Target="https://www.greenfinanceinstitute.com/products-solutions/property-linked-finance/" TargetMode="External"/><Relationship Id="rId4" Type="http://schemas.openxmlformats.org/officeDocument/2006/relationships/hyperlink" Target="https://commercial.nationalgrid.co.uk/projects/equinox-equitable-novel-flexibility-exchange" TargetMode="External"/><Relationship Id="rId9" Type="http://schemas.openxmlformats.org/officeDocument/2006/relationships/hyperlink" Target="https://mcsfoundation.org.uk/wp-content/uploads/2025/08/MCSF-Engaging-households-in-DSR-Report-2025-final-1.pdf" TargetMode="External"/><Relationship Id="rId14" Type="http://schemas.openxmlformats.org/officeDocument/2006/relationships/hyperlink" Target="https://www.regen.co.uk/insights/end-to-end-connections-review-a-framework-for-publication-of-lct-connections-data" TargetMode="External"/><Relationship Id="rId22" Type="http://schemas.openxmlformats.org/officeDocument/2006/relationships/hyperlink" Target="https://committees.parliament.uk/writtenevidence/60086/html" TargetMode="External"/><Relationship Id="rId27" Type="http://schemas.openxmlformats.org/officeDocument/2006/relationships/hyperlink" Target="https://oerc.ox.ac.uk/news/managing-the-load-profile-study-shows-heat-pumps-cut-energy-use-but-increase-peak-demand" TargetMode="External"/><Relationship Id="rId30" Type="http://schemas.openxmlformats.org/officeDocument/2006/relationships/hyperlink" Target="https://www.which.co.uk/policy-and-insight/article/financing-for-low-carbon-home-heating-azj8l9O83sXk" TargetMode="External"/><Relationship Id="rId35" Type="http://schemas.openxmlformats.org/officeDocument/2006/relationships/hyperlink" Target="https://mcsfoundation.org.uk/news/beyond-bills-new-report-reveals-homeowners-motivations-for-energy-efficiency-upgrades-2/" TargetMode="External"/><Relationship Id="rId8" Type="http://schemas.openxmlformats.org/officeDocument/2006/relationships/hyperlink" Target="https://www.ofgem.gov.uk/sites/default/files/2022-11/RIIO-ED2%20Final%20Determinations%20Core%20Methodology.pdf" TargetMode="External"/><Relationship Id="rId3" Type="http://schemas.openxmlformats.org/officeDocument/2006/relationships/hyperlink" Target="https://ukerc.ac.uk/publications/planning-works-local-energy-planning-to-accelerate-net-ze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c9eaf8e-3b75-4449-94e8-35aaab425fae" xsi:nil="true"/>
    <Descriptor xmlns="3c9eaf8e-3b75-4449-94e8-35aaab425fae" xsi:nil="true"/>
    <Recipient xmlns="3c9eaf8e-3b75-4449-94e8-35aaab425fae" xsi:nil="true"/>
    <_Status xmlns="http://schemas.microsoft.com/sharepoint/v3/fields">Draft</_Status>
    <Classification xmlns="3c9eaf8e-3b75-4449-94e8-35aaab425fae">Unclassified</Classific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anual" ma:contentTypeID="0x010100CC4D7E5A35E78A449EA97A937AD78DBC009407018553976C47BE6563A9A2CE259E" ma:contentTypeVersion="24" ma:contentTypeDescription="This is used to produce an instruction manual that needs screenshots" ma:contentTypeScope="" ma:versionID="7b7cd18f8bed58d9feee20e96999f2b3">
  <xsd:schema xmlns:xsd="http://www.w3.org/2001/XMLSchema" xmlns:xs="http://www.w3.org/2001/XMLSchema" xmlns:p="http://schemas.microsoft.com/office/2006/metadata/properties" xmlns:ns2="http://schemas.microsoft.com/sharepoint/v3/fields" xmlns:ns3="3c9eaf8e-3b75-4449-94e8-35aaab425fae" targetNamespace="http://schemas.microsoft.com/office/2006/metadata/properties" ma:root="true" ma:fieldsID="4f550752af6ead1ace6ba335226f023d" ns2:_="" ns3:_="">
    <xsd:import namespace="http://schemas.microsoft.com/sharepoint/v3/fields"/>
    <xsd:import namespace="3c9eaf8e-3b75-4449-94e8-35aaab425fae"/>
    <xsd:element name="properties">
      <xsd:complexType>
        <xsd:sequence>
          <xsd:element name="documentManagement">
            <xsd:complexType>
              <xsd:all>
                <xsd:element ref="ns2:_Status" minOccurs="0"/>
                <xsd:element ref="ns3:Recipient" minOccurs="0"/>
                <xsd:element ref="ns3:Classification" minOccurs="0"/>
                <xsd:element ref="ns3:Descriptor"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Draft" ma:description="Choose the appropriate status from the drop-down" ma:format="Dropdown" ma:internalName="_Status" ma:readOnly="false">
      <xsd:simpleType>
        <xsd:restriction base="dms:Choice">
          <xsd:enumeration value="Draft"/>
          <xsd:enumeration value="For comment"/>
          <xsd:enumeration value="Peer Reviewed"/>
          <xsd:enumeration value="Head of Dept Reviewed"/>
          <xsd:enumeration value="Legally Reviewed"/>
          <xsd:enumeration value="MD Approved"/>
          <xsd:enumeration value="Final not for Registry"/>
          <xsd:enumeration value="Final and Sent to Registry"/>
          <xsd:enumeration value="Published"/>
          <xsd:enumeration value="For deletion review"/>
          <xsd:enumeration value="External Draft"/>
          <xsd:enumeration value="External for comment"/>
          <xsd:enumeration value="External for action"/>
          <xsd:enumeration value="External Final"/>
        </xsd:restriction>
      </xsd:simpleType>
    </xsd:element>
  </xsd:schema>
  <xsd:schema xmlns:xsd="http://www.w3.org/2001/XMLSchema" xmlns:xs="http://www.w3.org/2001/XMLSchema" xmlns:dms="http://schemas.microsoft.com/office/2006/documentManagement/types" xmlns:pc="http://schemas.microsoft.com/office/infopath/2007/PartnerControls" targetNamespace="3c9eaf8e-3b75-4449-94e8-35aaab425fae" elementFormDefault="qualified">
    <xsd:import namespace="http://schemas.microsoft.com/office/2006/documentManagement/types"/>
    <xsd:import namespace="http://schemas.microsoft.com/office/infopath/2007/PartnerControls"/>
    <xsd:element name="Recipient" ma:index="10" nillable="true" ma:displayName="Recipient" ma:description="Internal or external person(s) or group (eg Exec, SMT or Authority).  For Legal Advice put recipient of advice." ma:internalName="Recipient" ma:readOnly="false">
      <xsd:simpleType>
        <xsd:restriction base="dms:Text">
          <xsd:maxLength value="255"/>
        </xsd:restriction>
      </xsd:simpleType>
    </xsd:element>
    <xsd:element name="Classification" ma:index="11" nillable="true" ma:displayName="Classification" ma:default="Unclassified" ma:format="Dropdown" ma:hidden="true" ma:internalName="Classification" ma:readOnly="false">
      <xsd:simpleType>
        <xsd:restriction base="dms:Choice">
          <xsd:enumeration value="Unclassified"/>
          <xsd:enumeration value="Protect"/>
          <xsd:enumeration value="Restricted"/>
        </xsd:restriction>
      </xsd:simpleType>
    </xsd:element>
    <xsd:element name="Descriptor" ma:index="12" nillable="true" ma:displayName="Descriptor" ma:format="Dropdown" ma:hidden="true" ma:internalName="Descriptor" ma:readOnly="false">
      <xsd:simpleType>
        <xsd:restriction base="dms:Choice">
          <xsd:enumeration value="Commercial"/>
          <xsd:enumeration value="Management"/>
          <xsd:enumeration value="Market Sensitive"/>
          <xsd:enumeration value="Staff"/>
        </xsd:restriction>
      </xsd:simpleType>
    </xsd:element>
    <xsd:element name="TaxCatchAll" ma:index="13" nillable="true" ma:displayName="Taxonomy Catch All Column" ma:hidden="true" ma:list="{d1521d1a-081c-48f5-bf1b-72cfd2d8c9be}" ma:internalName="TaxCatchAll" ma:showField="CatchAllData" ma:web="3c9eaf8e-3b75-4449-94e8-35aaab425fa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6A5E3-5BDC-4098-A344-B259947CBC7E}">
  <ds:schemaRefs>
    <ds:schemaRef ds:uri="http://schemas.microsoft.com/office/2006/metadata/properties"/>
    <ds:schemaRef ds:uri="http://schemas.microsoft.com/office/infopath/2007/PartnerControls"/>
    <ds:schemaRef ds:uri="1d826b85-0d75-44ea-896b-39edbb93270d"/>
    <ds:schemaRef ds:uri="ff6cc31c-2129-4e51-a137-b5d1e915618f"/>
  </ds:schemaRefs>
</ds:datastoreItem>
</file>

<file path=customXml/itemProps2.xml><?xml version="1.0" encoding="utf-8"?>
<ds:datastoreItem xmlns:ds="http://schemas.openxmlformats.org/officeDocument/2006/customXml" ds:itemID="{A5E0F6B5-26C0-43E0-9AAB-002EA2BCA54E}">
  <ds:schemaRefs>
    <ds:schemaRef ds:uri="http://schemas.microsoft.com/sharepoint/v3/contenttype/forms"/>
  </ds:schemaRefs>
</ds:datastoreItem>
</file>

<file path=customXml/itemProps3.xml><?xml version="1.0" encoding="utf-8"?>
<ds:datastoreItem xmlns:ds="http://schemas.openxmlformats.org/officeDocument/2006/customXml" ds:itemID="{4C91CE7D-582B-4816-BC04-35519E097329}"/>
</file>

<file path=customXml/itemProps4.xml><?xml version="1.0" encoding="utf-8"?>
<ds:datastoreItem xmlns:ds="http://schemas.openxmlformats.org/officeDocument/2006/customXml" ds:itemID="{4684D5C4-9EC0-46BA-A1C4-44A85CE2E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20</Pages>
  <Words>7718</Words>
  <Characters>43999</Characters>
  <Application>Microsoft Office Word</Application>
  <DocSecurity>0</DocSecurity>
  <Lines>366</Lines>
  <Paragraphs>103</Paragraphs>
  <ScaleCrop>false</ScaleCrop>
  <Company/>
  <LinksUpToDate>false</LinksUpToDate>
  <CharactersWithSpaces>51614</CharactersWithSpaces>
  <SharedDoc>false</SharedDoc>
  <HLinks>
    <vt:vector size="240" baseType="variant">
      <vt:variant>
        <vt:i4>2555907</vt:i4>
      </vt:variant>
      <vt:variant>
        <vt:i4>3</vt:i4>
      </vt:variant>
      <vt:variant>
        <vt:i4>0</vt:i4>
      </vt:variant>
      <vt:variant>
        <vt:i4>5</vt:i4>
      </vt:variant>
      <vt:variant>
        <vt:lpwstr>mailto:jenny.russon@mcsfoundation.org.uk</vt:lpwstr>
      </vt:variant>
      <vt:variant>
        <vt:lpwstr/>
      </vt:variant>
      <vt:variant>
        <vt:i4>589837</vt:i4>
      </vt:variant>
      <vt:variant>
        <vt:i4>0</vt:i4>
      </vt:variant>
      <vt:variant>
        <vt:i4>0</vt:i4>
      </vt:variant>
      <vt:variant>
        <vt:i4>5</vt:i4>
      </vt:variant>
      <vt:variant>
        <vt:lpwstr>https://mcscertified.com/</vt:lpwstr>
      </vt:variant>
      <vt:variant>
        <vt:lpwstr/>
      </vt:variant>
      <vt:variant>
        <vt:i4>2556018</vt:i4>
      </vt:variant>
      <vt:variant>
        <vt:i4>111</vt:i4>
      </vt:variant>
      <vt:variant>
        <vt:i4>0</vt:i4>
      </vt:variant>
      <vt:variant>
        <vt:i4>5</vt:i4>
      </vt:variant>
      <vt:variant>
        <vt:lpwstr>https://mcsfoundation.org.uk/wp-content/uploads/2025/08/MCSF-Engaging-households-in-DSR-Report-2025-final-1.pdf</vt:lpwstr>
      </vt:variant>
      <vt:variant>
        <vt:lpwstr/>
      </vt:variant>
      <vt:variant>
        <vt:i4>2949136</vt:i4>
      </vt:variant>
      <vt:variant>
        <vt:i4>108</vt:i4>
      </vt:variant>
      <vt:variant>
        <vt:i4>0</vt:i4>
      </vt:variant>
      <vt:variant>
        <vt:i4>5</vt:i4>
      </vt:variant>
      <vt:variant>
        <vt:lpwstr>https://www.sciencedirect.com/science/article/abs/pii/S0016718514000931?casa_token=ojxZF95lgEwAAAAA:JDIA3vk6WaIB7xdVWYX7Y0e0JO0IYTQex8yVzwW-QFTZMiXMn7iK4BllEeXdB7l4-Gc0V25wpQ</vt:lpwstr>
      </vt:variant>
      <vt:variant>
        <vt:lpwstr/>
      </vt:variant>
      <vt:variant>
        <vt:i4>2752575</vt:i4>
      </vt:variant>
      <vt:variant>
        <vt:i4>105</vt:i4>
      </vt:variant>
      <vt:variant>
        <vt:i4>0</vt:i4>
      </vt:variant>
      <vt:variant>
        <vt:i4>5</vt:i4>
      </vt:variant>
      <vt:variant>
        <vt:lpwstr>https://media.nesta.org.uk/documents/Clean_heat_-_coordinating_the_switch_street_by_street.pdf</vt:lpwstr>
      </vt:variant>
      <vt:variant>
        <vt:lpwstr/>
      </vt:variant>
      <vt:variant>
        <vt:i4>7340144</vt:i4>
      </vt:variant>
      <vt:variant>
        <vt:i4>102</vt:i4>
      </vt:variant>
      <vt:variant>
        <vt:i4>0</vt:i4>
      </vt:variant>
      <vt:variant>
        <vt:i4>5</vt:i4>
      </vt:variant>
      <vt:variant>
        <vt:lpwstr>https://mcsfoundation.org.uk/news/beyond-bills-new-report-reveals-homeowners-motivations-for-energy-efficiency-upgrades-2/</vt:lpwstr>
      </vt:variant>
      <vt:variant>
        <vt:lpwstr/>
      </vt:variant>
      <vt:variant>
        <vt:i4>2883691</vt:i4>
      </vt:variant>
      <vt:variant>
        <vt:i4>99</vt:i4>
      </vt:variant>
      <vt:variant>
        <vt:i4>0</vt:i4>
      </vt:variant>
      <vt:variant>
        <vt:i4>5</vt:i4>
      </vt:variant>
      <vt:variant>
        <vt:lpwstr>https://mcsfoundation.org.uk/wp-content/uploads/2026/01/MCSF-Scotland-Survey-Report-2025-FINAL.pdf</vt:lpwstr>
      </vt:variant>
      <vt:variant>
        <vt:lpwstr/>
      </vt:variant>
      <vt:variant>
        <vt:i4>2818102</vt:i4>
      </vt:variant>
      <vt:variant>
        <vt:i4>96</vt:i4>
      </vt:variant>
      <vt:variant>
        <vt:i4>0</vt:i4>
      </vt:variant>
      <vt:variant>
        <vt:i4>5</vt:i4>
      </vt:variant>
      <vt:variant>
        <vt:lpwstr>https://mcsfoundation.org.uk/wp-content/uploads/2025/06/MCSF-Attitudes-to-Retrofit-Finance-Report-2025.pdf</vt:lpwstr>
      </vt:variant>
      <vt:variant>
        <vt:lpwstr/>
      </vt:variant>
      <vt:variant>
        <vt:i4>2818102</vt:i4>
      </vt:variant>
      <vt:variant>
        <vt:i4>93</vt:i4>
      </vt:variant>
      <vt:variant>
        <vt:i4>0</vt:i4>
      </vt:variant>
      <vt:variant>
        <vt:i4>5</vt:i4>
      </vt:variant>
      <vt:variant>
        <vt:lpwstr>https://mcsfoundation.org.uk/wp-content/uploads/2025/06/MCSF-Attitudes-to-Retrofit-Finance-Report-2025.pdf</vt:lpwstr>
      </vt:variant>
      <vt:variant>
        <vt:lpwstr/>
      </vt:variant>
      <vt:variant>
        <vt:i4>2031619</vt:i4>
      </vt:variant>
      <vt:variant>
        <vt:i4>90</vt:i4>
      </vt:variant>
      <vt:variant>
        <vt:i4>0</vt:i4>
      </vt:variant>
      <vt:variant>
        <vt:i4>5</vt:i4>
      </vt:variant>
      <vt:variant>
        <vt:lpwstr>https://www.greenfinanceinstitute.com/products-solutions/property-linked-finance/</vt:lpwstr>
      </vt:variant>
      <vt:variant>
        <vt:lpwstr/>
      </vt:variant>
      <vt:variant>
        <vt:i4>4653058</vt:i4>
      </vt:variant>
      <vt:variant>
        <vt:i4>87</vt:i4>
      </vt:variant>
      <vt:variant>
        <vt:i4>0</vt:i4>
      </vt:variant>
      <vt:variant>
        <vt:i4>5</vt:i4>
      </vt:variant>
      <vt:variant>
        <vt:lpwstr>https://www.which.co.uk/policy-and-insight/article/financing-for-low-carbon-home-heating-azj8l9O83sXk</vt:lpwstr>
      </vt:variant>
      <vt:variant>
        <vt:lpwstr>:~:text=As%20required%20under%20FCA%20regulations,are%20allowed%20in%20this%20sector</vt:lpwstr>
      </vt:variant>
      <vt:variant>
        <vt:i4>2818102</vt:i4>
      </vt:variant>
      <vt:variant>
        <vt:i4>84</vt:i4>
      </vt:variant>
      <vt:variant>
        <vt:i4>0</vt:i4>
      </vt:variant>
      <vt:variant>
        <vt:i4>5</vt:i4>
      </vt:variant>
      <vt:variant>
        <vt:lpwstr>https://mcsfoundation.org.uk/wp-content/uploads/2025/06/MCSF-Attitudes-to-Retrofit-Finance-Report-2025.pdf</vt:lpwstr>
      </vt:variant>
      <vt:variant>
        <vt:lpwstr/>
      </vt:variant>
      <vt:variant>
        <vt:i4>2556018</vt:i4>
      </vt:variant>
      <vt:variant>
        <vt:i4>81</vt:i4>
      </vt:variant>
      <vt:variant>
        <vt:i4>0</vt:i4>
      </vt:variant>
      <vt:variant>
        <vt:i4>5</vt:i4>
      </vt:variant>
      <vt:variant>
        <vt:lpwstr>https://mcsfoundation.org.uk/wp-content/uploads/2025/08/MCSF-Engaging-households-in-DSR-Report-2025-final-1.pdf</vt:lpwstr>
      </vt:variant>
      <vt:variant>
        <vt:lpwstr/>
      </vt:variant>
      <vt:variant>
        <vt:i4>8126584</vt:i4>
      </vt:variant>
      <vt:variant>
        <vt:i4>78</vt:i4>
      </vt:variant>
      <vt:variant>
        <vt:i4>0</vt:i4>
      </vt:variant>
      <vt:variant>
        <vt:i4>5</vt:i4>
      </vt:variant>
      <vt:variant>
        <vt:lpwstr>https://oerc.ox.ac.uk/news/managing-the-load-profile-study-shows-heat-pumps-cut-energy-use-but-increase-peak-demand</vt:lpwstr>
      </vt:variant>
      <vt:variant>
        <vt:lpwstr/>
      </vt:variant>
      <vt:variant>
        <vt:i4>6094863</vt:i4>
      </vt:variant>
      <vt:variant>
        <vt:i4>75</vt:i4>
      </vt:variant>
      <vt:variant>
        <vt:i4>0</vt:i4>
      </vt:variant>
      <vt:variant>
        <vt:i4>5</vt:i4>
      </vt:variant>
      <vt:variant>
        <vt:lpwstr>https://edol.uk/Research/Labs/Heat/Sofia_MSc_Thesis.html</vt:lpwstr>
      </vt:variant>
      <vt:variant>
        <vt:lpwstr/>
      </vt:variant>
      <vt:variant>
        <vt:i4>5898249</vt:i4>
      </vt:variant>
      <vt:variant>
        <vt:i4>72</vt:i4>
      </vt:variant>
      <vt:variant>
        <vt:i4>0</vt:i4>
      </vt:variant>
      <vt:variant>
        <vt:i4>5</vt:i4>
      </vt:variant>
      <vt:variant>
        <vt:lpwstr>https://innovation.ukpowernetworks.co.uk/projects/smarter-network-storage-sns</vt:lpwstr>
      </vt:variant>
      <vt:variant>
        <vt:lpwstr/>
      </vt:variant>
      <vt:variant>
        <vt:i4>2556018</vt:i4>
      </vt:variant>
      <vt:variant>
        <vt:i4>69</vt:i4>
      </vt:variant>
      <vt:variant>
        <vt:i4>0</vt:i4>
      </vt:variant>
      <vt:variant>
        <vt:i4>5</vt:i4>
      </vt:variant>
      <vt:variant>
        <vt:lpwstr>https://mcsfoundation.org.uk/wp-content/uploads/2025/08/MCSF-Engaging-households-in-DSR-Report-2025-final-1.pdf</vt:lpwstr>
      </vt:variant>
      <vt:variant>
        <vt:lpwstr/>
      </vt:variant>
      <vt:variant>
        <vt:i4>3211326</vt:i4>
      </vt:variant>
      <vt:variant>
        <vt:i4>66</vt:i4>
      </vt:variant>
      <vt:variant>
        <vt:i4>0</vt:i4>
      </vt:variant>
      <vt:variant>
        <vt:i4>5</vt:i4>
      </vt:variant>
      <vt:variant>
        <vt:lpwstr>https://www.cornwall-insight.com/wp-content/uploads/2023/08/The-power-of-flex-Rewarding-smarter-energy-usage-1.pdf?utm_source=website&amp;utm_medium=website</vt:lpwstr>
      </vt:variant>
      <vt:variant>
        <vt:lpwstr/>
      </vt:variant>
      <vt:variant>
        <vt:i4>8126465</vt:i4>
      </vt:variant>
      <vt:variant>
        <vt:i4>63</vt:i4>
      </vt:variant>
      <vt:variant>
        <vt:i4>0</vt:i4>
      </vt:variant>
      <vt:variant>
        <vt:i4>5</vt:i4>
      </vt:variant>
      <vt:variant>
        <vt:lpwstr>https://committees.parliament.uk/writtenevidence/60086/html</vt:lpwstr>
      </vt:variant>
      <vt:variant>
        <vt:lpwstr>_ftn8</vt:lpwstr>
      </vt:variant>
      <vt:variant>
        <vt:i4>4849699</vt:i4>
      </vt:variant>
      <vt:variant>
        <vt:i4>60</vt:i4>
      </vt:variant>
      <vt:variant>
        <vt:i4>0</vt:i4>
      </vt:variant>
      <vt:variant>
        <vt:i4>5</vt:i4>
      </vt:variant>
      <vt:variant>
        <vt:lpwstr>https://assets.publishing.service.gov.uk/media/6475f1685f7bb7000c7fa176/Consumer_protection_in_the_green_heating_and_insulation_sector_-_Final_report.pdf</vt:lpwstr>
      </vt:variant>
      <vt:variant>
        <vt:lpwstr/>
      </vt:variant>
      <vt:variant>
        <vt:i4>4259920</vt:i4>
      </vt:variant>
      <vt:variant>
        <vt:i4>57</vt:i4>
      </vt:variant>
      <vt:variant>
        <vt:i4>0</vt:i4>
      </vt:variant>
      <vt:variant>
        <vt:i4>5</vt:i4>
      </vt:variant>
      <vt:variant>
        <vt:lpwstr>https://www.ofgem.gov.uk/sites/default/files/2025-12/Enhancing asset visibility - Distribution Network Operator Options consultation.pdf</vt:lpwstr>
      </vt:variant>
      <vt:variant>
        <vt:lpwstr/>
      </vt:variant>
      <vt:variant>
        <vt:i4>7340073</vt:i4>
      </vt:variant>
      <vt:variant>
        <vt:i4>54</vt:i4>
      </vt:variant>
      <vt:variant>
        <vt:i4>0</vt:i4>
      </vt:variant>
      <vt:variant>
        <vt:i4>5</vt:i4>
      </vt:variant>
      <vt:variant>
        <vt:lpwstr>https://www.londoncouncils.gov.uk/sites/default/files/2024-05/retrofit_delivery_plan_for_london_full_report.pdf</vt:lpwstr>
      </vt:variant>
      <vt:variant>
        <vt:lpwstr/>
      </vt:variant>
      <vt:variant>
        <vt:i4>7340073</vt:i4>
      </vt:variant>
      <vt:variant>
        <vt:i4>51</vt:i4>
      </vt:variant>
      <vt:variant>
        <vt:i4>0</vt:i4>
      </vt:variant>
      <vt:variant>
        <vt:i4>5</vt:i4>
      </vt:variant>
      <vt:variant>
        <vt:lpwstr>https://www.londoncouncils.gov.uk/sites/default/files/2024-05/retrofit_delivery_plan_for_london_full_report.pdf</vt:lpwstr>
      </vt:variant>
      <vt:variant>
        <vt:lpwstr/>
      </vt:variant>
      <vt:variant>
        <vt:i4>5242936</vt:i4>
      </vt:variant>
      <vt:variant>
        <vt:i4>48</vt:i4>
      </vt:variant>
      <vt:variant>
        <vt:i4>0</vt:i4>
      </vt:variant>
      <vt:variant>
        <vt:i4>5</vt:i4>
      </vt:variant>
      <vt:variant>
        <vt:lpwstr>https://www.e3g.org/wp-content/uploads/2023_07-locally-led-retrofit-report.pdf</vt:lpwstr>
      </vt:variant>
      <vt:variant>
        <vt:lpwstr/>
      </vt:variant>
      <vt:variant>
        <vt:i4>917520</vt:i4>
      </vt:variant>
      <vt:variant>
        <vt:i4>45</vt:i4>
      </vt:variant>
      <vt:variant>
        <vt:i4>0</vt:i4>
      </vt:variant>
      <vt:variant>
        <vt:i4>5</vt:i4>
      </vt:variant>
      <vt:variant>
        <vt:lpwstr>https://www.ofgem.gov.uk/sites/default/files/2023-09/2022-23 SECV Panel Report Update.pdf</vt:lpwstr>
      </vt:variant>
      <vt:variant>
        <vt:lpwstr/>
      </vt:variant>
      <vt:variant>
        <vt:i4>1507410</vt:i4>
      </vt:variant>
      <vt:variant>
        <vt:i4>42</vt:i4>
      </vt:variant>
      <vt:variant>
        <vt:i4>0</vt:i4>
      </vt:variant>
      <vt:variant>
        <vt:i4>5</vt:i4>
      </vt:variant>
      <vt:variant>
        <vt:lpwstr>https://smarter.energynetworks.org/projects/10061348/</vt:lpwstr>
      </vt:variant>
      <vt:variant>
        <vt:lpwstr/>
      </vt:variant>
      <vt:variant>
        <vt:i4>2949152</vt:i4>
      </vt:variant>
      <vt:variant>
        <vt:i4>39</vt:i4>
      </vt:variant>
      <vt:variant>
        <vt:i4>0</vt:i4>
      </vt:variant>
      <vt:variant>
        <vt:i4>5</vt:i4>
      </vt:variant>
      <vt:variant>
        <vt:lpwstr>https://www.regen.co.uk/insights/end-to-end-connections-review-a-framework-for-publication-of-lct-connections-data</vt:lpwstr>
      </vt:variant>
      <vt:variant>
        <vt:lpwstr/>
      </vt:variant>
      <vt:variant>
        <vt:i4>2949152</vt:i4>
      </vt:variant>
      <vt:variant>
        <vt:i4>36</vt:i4>
      </vt:variant>
      <vt:variant>
        <vt:i4>0</vt:i4>
      </vt:variant>
      <vt:variant>
        <vt:i4>5</vt:i4>
      </vt:variant>
      <vt:variant>
        <vt:lpwstr>https://www.regen.co.uk/insights/end-to-end-connections-review-a-framework-for-publication-of-lct-connections-data</vt:lpwstr>
      </vt:variant>
      <vt:variant>
        <vt:lpwstr/>
      </vt:variant>
      <vt:variant>
        <vt:i4>655446</vt:i4>
      </vt:variant>
      <vt:variant>
        <vt:i4>33</vt:i4>
      </vt:variant>
      <vt:variant>
        <vt:i4>0</vt:i4>
      </vt:variant>
      <vt:variant>
        <vt:i4>5</vt:i4>
      </vt:variant>
      <vt:variant>
        <vt:lpwstr>https://ukerc.ac.uk/publications/planning-works-local-energy-planning-to-accelerate-net-zero/</vt:lpwstr>
      </vt:variant>
      <vt:variant>
        <vt:lpwstr/>
      </vt:variant>
      <vt:variant>
        <vt:i4>1900612</vt:i4>
      </vt:variant>
      <vt:variant>
        <vt:i4>30</vt:i4>
      </vt:variant>
      <vt:variant>
        <vt:i4>0</vt:i4>
      </vt:variant>
      <vt:variant>
        <vt:i4>5</vt:i4>
      </vt:variant>
      <vt:variant>
        <vt:lpwstr>https://www.bi.team/publications/empowering-flexibility-unlocking-consumer-engagement-in-demand-flexibility/</vt:lpwstr>
      </vt:variant>
      <vt:variant>
        <vt:lpwstr/>
      </vt:variant>
      <vt:variant>
        <vt:i4>6946940</vt:i4>
      </vt:variant>
      <vt:variant>
        <vt:i4>27</vt:i4>
      </vt:variant>
      <vt:variant>
        <vt:i4>0</vt:i4>
      </vt:variant>
      <vt:variant>
        <vt:i4>5</vt:i4>
      </vt:variant>
      <vt:variant>
        <vt:lpwstr>https://www.sciencedirect.com/science/article/pii/S2214629615300463</vt:lpwstr>
      </vt:variant>
      <vt:variant>
        <vt:lpwstr/>
      </vt:variant>
      <vt:variant>
        <vt:i4>2556018</vt:i4>
      </vt:variant>
      <vt:variant>
        <vt:i4>24</vt:i4>
      </vt:variant>
      <vt:variant>
        <vt:i4>0</vt:i4>
      </vt:variant>
      <vt:variant>
        <vt:i4>5</vt:i4>
      </vt:variant>
      <vt:variant>
        <vt:lpwstr>https://mcsfoundation.org.uk/wp-content/uploads/2025/08/MCSF-Engaging-households-in-DSR-Report-2025-final-1.pdf</vt:lpwstr>
      </vt:variant>
      <vt:variant>
        <vt:lpwstr/>
      </vt:variant>
      <vt:variant>
        <vt:i4>7667768</vt:i4>
      </vt:variant>
      <vt:variant>
        <vt:i4>21</vt:i4>
      </vt:variant>
      <vt:variant>
        <vt:i4>0</vt:i4>
      </vt:variant>
      <vt:variant>
        <vt:i4>5</vt:i4>
      </vt:variant>
      <vt:variant>
        <vt:lpwstr>https://www.ofgem.gov.uk/sites/default/files/2022-11/RIIO-ED2 Final Determinations Core Methodology.pdf</vt:lpwstr>
      </vt:variant>
      <vt:variant>
        <vt:lpwstr/>
      </vt:variant>
      <vt:variant>
        <vt:i4>7405607</vt:i4>
      </vt:variant>
      <vt:variant>
        <vt:i4>18</vt:i4>
      </vt:variant>
      <vt:variant>
        <vt:i4>0</vt:i4>
      </vt:variant>
      <vt:variant>
        <vt:i4>5</vt:i4>
      </vt:variant>
      <vt:variant>
        <vt:lpwstr>https://www.cornwall-insight.com/files/the-power-of-flex-rewarding-smarter-energy-usage-1-64ee8489.pdf</vt:lpwstr>
      </vt:variant>
      <vt:variant>
        <vt:lpwstr/>
      </vt:variant>
      <vt:variant>
        <vt:i4>8126584</vt:i4>
      </vt:variant>
      <vt:variant>
        <vt:i4>15</vt:i4>
      </vt:variant>
      <vt:variant>
        <vt:i4>0</vt:i4>
      </vt:variant>
      <vt:variant>
        <vt:i4>5</vt:i4>
      </vt:variant>
      <vt:variant>
        <vt:lpwstr>https://oerc.ox.ac.uk/news/managing-the-load-profile-study-shows-heat-pumps-cut-energy-use-but-increase-peak-demand</vt:lpwstr>
      </vt:variant>
      <vt:variant>
        <vt:lpwstr/>
      </vt:variant>
      <vt:variant>
        <vt:i4>3932216</vt:i4>
      </vt:variant>
      <vt:variant>
        <vt:i4>12</vt:i4>
      </vt:variant>
      <vt:variant>
        <vt:i4>0</vt:i4>
      </vt:variant>
      <vt:variant>
        <vt:i4>5</vt:i4>
      </vt:variant>
      <vt:variant>
        <vt:lpwstr>https://www.nesta.org.uk/report/heatflex-the-untapped-potential-of-automated-heat-pump-flexibility/</vt:lpwstr>
      </vt:variant>
      <vt:variant>
        <vt:lpwstr/>
      </vt:variant>
      <vt:variant>
        <vt:i4>7274596</vt:i4>
      </vt:variant>
      <vt:variant>
        <vt:i4>9</vt:i4>
      </vt:variant>
      <vt:variant>
        <vt:i4>0</vt:i4>
      </vt:variant>
      <vt:variant>
        <vt:i4>5</vt:i4>
      </vt:variant>
      <vt:variant>
        <vt:lpwstr>https://commercial.nationalgrid.co.uk/projects/equinox-equitable-novel-flexibility-exchange</vt:lpwstr>
      </vt:variant>
      <vt:variant>
        <vt:lpwstr/>
      </vt:variant>
      <vt:variant>
        <vt:i4>655446</vt:i4>
      </vt:variant>
      <vt:variant>
        <vt:i4>6</vt:i4>
      </vt:variant>
      <vt:variant>
        <vt:i4>0</vt:i4>
      </vt:variant>
      <vt:variant>
        <vt:i4>5</vt:i4>
      </vt:variant>
      <vt:variant>
        <vt:lpwstr>https://ukerc.ac.uk/publications/planning-works-local-energy-planning-to-accelerate-net-zero/</vt:lpwstr>
      </vt:variant>
      <vt:variant>
        <vt:lpwstr/>
      </vt:variant>
      <vt:variant>
        <vt:i4>655365</vt:i4>
      </vt:variant>
      <vt:variant>
        <vt:i4>3</vt:i4>
      </vt:variant>
      <vt:variant>
        <vt:i4>0</vt:i4>
      </vt:variant>
      <vt:variant>
        <vt:i4>5</vt:i4>
      </vt:variant>
      <vt:variant>
        <vt:lpwstr>https://www.regen.co.uk/insights/electrification-the-local-grid-challenge</vt:lpwstr>
      </vt:variant>
      <vt:variant>
        <vt:lpwstr/>
      </vt:variant>
      <vt:variant>
        <vt:i4>3735606</vt:i4>
      </vt:variant>
      <vt:variant>
        <vt:i4>0</vt:i4>
      </vt:variant>
      <vt:variant>
        <vt:i4>0</vt:i4>
      </vt:variant>
      <vt:variant>
        <vt:i4>5</vt:i4>
      </vt:variant>
      <vt:variant>
        <vt:lpwstr>https://www.ofgem.gov.uk/sites/default/files/2025-04/ED3-Framework-Decision.pdf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Russon</dc:creator>
  <cp:keywords/>
  <dc:description/>
  <cp:lastModifiedBy>Jenny Russon</cp:lastModifiedBy>
  <cp:revision>13</cp:revision>
  <dcterms:created xsi:type="dcterms:W3CDTF">2026-04-02T08:25:00Z</dcterms:created>
  <dcterms:modified xsi:type="dcterms:W3CDTF">2026-04-02T14:26:00Z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0x010100CC4D7E5A35E78A449EA97A937AD78DBC009407018553976C47BE6563A9A2CE259E</vt:lpwstr>
  </property>
  <property fmtid="{D5CDD505-2E9C-101B-9397-08002B2CF9AE}" pid="3" name="MediaServiceImageTags">
    <vt:lpwstr/>
  </property>
  <property fmtid="{D5CDD505-2E9C-101B-9397-08002B2CF9AE}" pid="4" name="lcf76f155ced4ddcb4097134ff3c332f">
    <vt:lpwstr/>
  </property>
</Properties>
</file>